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D375" w14:textId="6DCA1F1C" w:rsidR="00467A01" w:rsidRDefault="00467A01" w:rsidP="00467A01">
      <w:pPr>
        <w:rPr>
          <w:sz w:val="28"/>
          <w:szCs w:val="28"/>
        </w:rPr>
      </w:pPr>
      <w:r w:rsidRPr="008820AA">
        <w:rPr>
          <w:sz w:val="28"/>
          <w:szCs w:val="28"/>
        </w:rPr>
        <w:t>ZNANSTVENI RADOVI – DOSADAŠNJA ISTRAŽIVANJA MentiFit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7"/>
        <w:gridCol w:w="6225"/>
      </w:tblGrid>
      <w:tr w:rsidR="00467A01" w:rsidRPr="005365AA" w14:paraId="468FCF23" w14:textId="77777777" w:rsidTr="0752BA49">
        <w:trPr>
          <w:trHeight w:val="300"/>
        </w:trPr>
        <w:tc>
          <w:tcPr>
            <w:tcW w:w="2837" w:type="dxa"/>
            <w:hideMark/>
          </w:tcPr>
          <w:p w14:paraId="1AC9B0D1" w14:textId="71A217D1" w:rsidR="00467A01"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0467A01" w:rsidRPr="0752BA49">
              <w:rPr>
                <w:rFonts w:eastAsiaTheme="minorEastAsia"/>
                <w:b/>
                <w:bCs/>
                <w:color w:val="000000" w:themeColor="text1"/>
                <w:sz w:val="18"/>
                <w:szCs w:val="18"/>
                <w:lang w:eastAsia="hr-HR"/>
              </w:rPr>
              <w:t> </w:t>
            </w:r>
          </w:p>
        </w:tc>
        <w:tc>
          <w:tcPr>
            <w:tcW w:w="6225" w:type="dxa"/>
          </w:tcPr>
          <w:p w14:paraId="469112EC" w14:textId="04E6A61B" w:rsidR="00467A01" w:rsidRPr="005365AA" w:rsidRDefault="0618383E" w:rsidP="0752BA49">
            <w:pPr>
              <w:spacing w:after="0" w:line="240" w:lineRule="auto"/>
              <w:textAlignment w:val="baseline"/>
              <w:rPr>
                <w:rFonts w:eastAsiaTheme="minorEastAsia"/>
                <w:sz w:val="18"/>
                <w:szCs w:val="18"/>
                <w:lang w:val="en-US"/>
              </w:rPr>
            </w:pPr>
            <w:r w:rsidRPr="0752BA49">
              <w:rPr>
                <w:rFonts w:eastAsiaTheme="minorEastAsia"/>
                <w:sz w:val="18"/>
                <w:szCs w:val="18"/>
                <w:lang w:val="en-US"/>
              </w:rPr>
              <w:t>Zhang M, Gu C, Zeng H and Yi X (2025) The impact of physical activity on adolescent mental health status: the mediating effect of school adaptation. Front. Psychol. 16:1573129. doi: 10.3389/fpsyg.2025.1573129</w:t>
            </w:r>
          </w:p>
        </w:tc>
      </w:tr>
      <w:tr w:rsidR="00467A01" w:rsidRPr="005365AA" w14:paraId="4B54902C" w14:textId="77777777" w:rsidTr="0752BA49">
        <w:trPr>
          <w:trHeight w:val="300"/>
        </w:trPr>
        <w:tc>
          <w:tcPr>
            <w:tcW w:w="2837" w:type="dxa"/>
            <w:hideMark/>
          </w:tcPr>
          <w:p w14:paraId="160A3EAB"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6225" w:type="dxa"/>
          </w:tcPr>
          <w:p w14:paraId="2212EE81" w14:textId="3CCEEA24" w:rsidR="00467A01" w:rsidRPr="005365AA" w:rsidRDefault="000D719D" w:rsidP="0752BA49">
            <w:pPr>
              <w:spacing w:after="0" w:line="240" w:lineRule="auto"/>
              <w:textAlignment w:val="baseline"/>
              <w:rPr>
                <w:rFonts w:eastAsiaTheme="minorEastAsia"/>
                <w:sz w:val="18"/>
                <w:szCs w:val="18"/>
                <w:lang w:eastAsia="hr-HR"/>
              </w:rPr>
            </w:pPr>
            <w:hyperlink r:id="rId8" w:history="1">
              <w:r w:rsidR="09610C37" w:rsidRPr="0752BA49">
                <w:rPr>
                  <w:rStyle w:val="Hiperveza"/>
                  <w:rFonts w:eastAsiaTheme="minorEastAsia"/>
                  <w:sz w:val="18"/>
                  <w:szCs w:val="18"/>
                  <w:shd w:val="clear" w:color="auto" w:fill="F7F7F7"/>
                </w:rPr>
                <w:t>https://doi.org/10.3389/fpsyg.2025.1573129</w:t>
              </w:r>
            </w:hyperlink>
          </w:p>
        </w:tc>
      </w:tr>
      <w:tr w:rsidR="00467A01" w:rsidRPr="005365AA" w14:paraId="182F3B8F" w14:textId="77777777" w:rsidTr="0752BA49">
        <w:trPr>
          <w:trHeight w:val="300"/>
        </w:trPr>
        <w:tc>
          <w:tcPr>
            <w:tcW w:w="2837" w:type="dxa"/>
            <w:hideMark/>
          </w:tcPr>
          <w:p w14:paraId="062BC280"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6225" w:type="dxa"/>
          </w:tcPr>
          <w:p w14:paraId="57D16C29" w14:textId="68F9347A"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Tjelesna aktivnost i mentalno zdravlje</w:t>
            </w:r>
          </w:p>
        </w:tc>
      </w:tr>
      <w:tr w:rsidR="00467A01" w:rsidRPr="005365AA" w14:paraId="1237B381" w14:textId="77777777" w:rsidTr="0752BA49">
        <w:trPr>
          <w:trHeight w:val="300"/>
        </w:trPr>
        <w:tc>
          <w:tcPr>
            <w:tcW w:w="2837" w:type="dxa"/>
          </w:tcPr>
          <w:p w14:paraId="670CAE8B" w14:textId="77777777" w:rsidR="00467A01" w:rsidRPr="005365AA" w:rsidRDefault="00467A01"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6225" w:type="dxa"/>
          </w:tcPr>
          <w:p w14:paraId="6C910347" w14:textId="3B5F1E83"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Renata Barić</w:t>
            </w:r>
          </w:p>
        </w:tc>
      </w:tr>
      <w:tr w:rsidR="00467A01" w:rsidRPr="005365AA" w14:paraId="747AEBAF" w14:textId="77777777" w:rsidTr="0752BA49">
        <w:trPr>
          <w:trHeight w:val="300"/>
        </w:trPr>
        <w:tc>
          <w:tcPr>
            <w:tcW w:w="2837" w:type="dxa"/>
            <w:hideMark/>
          </w:tcPr>
          <w:p w14:paraId="7DEE2750" w14:textId="77777777" w:rsidR="00467A01" w:rsidRPr="005365AA" w:rsidRDefault="00467A01"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346724E5" w14:textId="77777777" w:rsidR="00467A01" w:rsidRPr="005365AA" w:rsidRDefault="00467A01"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3FF3057" w14:textId="77777777" w:rsidR="00467A01" w:rsidRPr="005365AA" w:rsidRDefault="00467A01"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1FEE80EE" w14:textId="77777777" w:rsidR="00467A01" w:rsidRPr="005365AA" w:rsidRDefault="00467A01"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1BD4DFBD" w14:textId="77777777" w:rsidR="00467A01" w:rsidRPr="005365AA" w:rsidRDefault="00467A01"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6225" w:type="dxa"/>
          </w:tcPr>
          <w:p w14:paraId="4B225A89" w14:textId="77777777" w:rsidR="00467A01" w:rsidRDefault="00467A01" w:rsidP="0752BA49">
            <w:pPr>
              <w:spacing w:after="0" w:line="240" w:lineRule="exact"/>
              <w:textAlignment w:val="baseline"/>
              <w:rPr>
                <w:rFonts w:eastAsiaTheme="minorEastAsia"/>
                <w:b/>
                <w:bCs/>
                <w:color w:val="4472C4"/>
                <w:sz w:val="18"/>
                <w:szCs w:val="18"/>
                <w:lang w:eastAsia="hr-HR"/>
              </w:rPr>
            </w:pPr>
          </w:p>
          <w:p w14:paraId="50980EC1" w14:textId="7FF81687" w:rsidR="00467A01" w:rsidRPr="005365AA" w:rsidRDefault="00467A01"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 xml:space="preserve">  2</w:t>
            </w:r>
          </w:p>
        </w:tc>
      </w:tr>
      <w:tr w:rsidR="00467A01" w:rsidRPr="005365AA" w14:paraId="6F91B863" w14:textId="77777777" w:rsidTr="0752BA49">
        <w:trPr>
          <w:trHeight w:val="300"/>
        </w:trPr>
        <w:tc>
          <w:tcPr>
            <w:tcW w:w="2837" w:type="dxa"/>
            <w:hideMark/>
          </w:tcPr>
          <w:p w14:paraId="2AB09628" w14:textId="77777777" w:rsidR="00467A01" w:rsidRPr="00FD688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537D407E"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5" w:type="dxa"/>
          </w:tcPr>
          <w:p w14:paraId="6D9E77BD" w14:textId="77777777" w:rsidR="00467A01" w:rsidRPr="002402F8" w:rsidRDefault="00467A01" w:rsidP="0752BA49">
            <w:pPr>
              <w:pStyle w:val="mb15"/>
              <w:spacing w:before="0" w:beforeAutospacing="0" w:after="0" w:afterAutospacing="0"/>
              <w:rPr>
                <w:rFonts w:asciiTheme="minorHAnsi" w:eastAsiaTheme="minorEastAsia" w:hAnsiTheme="minorHAnsi" w:cstheme="minorBidi"/>
                <w:color w:val="282828"/>
                <w:sz w:val="18"/>
                <w:szCs w:val="18"/>
              </w:rPr>
            </w:pPr>
            <w:r w:rsidRPr="0752BA49">
              <w:rPr>
                <w:rFonts w:asciiTheme="minorHAnsi" w:eastAsiaTheme="minorEastAsia" w:hAnsiTheme="minorHAnsi" w:cstheme="minorBidi"/>
                <w:color w:val="282828"/>
                <w:sz w:val="18"/>
                <w:szCs w:val="18"/>
              </w:rPr>
              <w:t>The study was designed to examine the mental health status of Chinese adolescents, investigate the effects of adolescent physical activity on mental health status, and verify the mediating effect of school adaptation.</w:t>
            </w:r>
          </w:p>
          <w:p w14:paraId="736489F7" w14:textId="77777777" w:rsidR="00467A01" w:rsidRPr="002402F8" w:rsidRDefault="00467A01" w:rsidP="0752BA49">
            <w:pPr>
              <w:pStyle w:val="mb15"/>
              <w:spacing w:before="0" w:beforeAutospacing="0" w:after="0" w:afterAutospacing="0"/>
              <w:rPr>
                <w:rFonts w:asciiTheme="minorHAnsi" w:eastAsiaTheme="minorEastAsia" w:hAnsiTheme="minorHAnsi" w:cstheme="minorBidi"/>
                <w:color w:val="282828"/>
                <w:sz w:val="18"/>
                <w:szCs w:val="18"/>
              </w:rPr>
            </w:pPr>
            <w:r w:rsidRPr="0752BA49">
              <w:rPr>
                <w:rFonts w:asciiTheme="minorHAnsi" w:eastAsiaTheme="minorEastAsia" w:hAnsiTheme="minorHAnsi" w:cstheme="minorBidi"/>
                <w:color w:val="282828"/>
                <w:sz w:val="18"/>
                <w:szCs w:val="18"/>
              </w:rPr>
              <w:t> A survey and analysis were conducted on 9,701 high school students in Shandong Province using the Physical Activity Questionnaire for Adolescents (PAQ-A), the School Social Behavior Scale-2 (SSBS-2), and the Symptom Checklist-90 (SCL-90) self-rating scale. The overall status of adolescent mental health was analyzed, regression modeling along with structural equation modeling was used to test whether school adaptation played a mediating role.</w:t>
            </w:r>
          </w:p>
          <w:p w14:paraId="730DAFC1" w14:textId="77777777" w:rsidR="00467A01" w:rsidRPr="002402F8" w:rsidRDefault="00467A01" w:rsidP="0752BA49">
            <w:pPr>
              <w:pStyle w:val="mb15"/>
              <w:spacing w:before="0" w:beforeAutospacing="0" w:after="0" w:afterAutospacing="0"/>
              <w:rPr>
                <w:rFonts w:asciiTheme="minorHAnsi" w:eastAsiaTheme="minorEastAsia" w:hAnsiTheme="minorHAnsi" w:cstheme="minorBidi"/>
                <w:color w:val="282828"/>
                <w:sz w:val="18"/>
                <w:szCs w:val="18"/>
              </w:rPr>
            </w:pPr>
            <w:r w:rsidRPr="0752BA49">
              <w:rPr>
                <w:rFonts w:asciiTheme="minorHAnsi" w:eastAsiaTheme="minorEastAsia" w:hAnsiTheme="minorHAnsi" w:cstheme="minorBidi"/>
                <w:color w:val="282828"/>
                <w:sz w:val="18"/>
                <w:szCs w:val="18"/>
              </w:rPr>
              <w:t>The structural equation model was validated as a good fit (GFI = 0.950, RMSEA = 0.048, CFI = 0.972, NFI = 0.970, SRMR = 0.077). Physical activity was significantly and positively correlated with mental health status (</w:t>
            </w:r>
            <w:r w:rsidRPr="0752BA49">
              <w:rPr>
                <w:rFonts w:asciiTheme="minorHAnsi" w:eastAsiaTheme="minorEastAsia" w:hAnsiTheme="minorHAnsi" w:cstheme="minorBidi"/>
                <w:i/>
                <w:iCs/>
                <w:color w:val="282828"/>
                <w:sz w:val="18"/>
                <w:szCs w:val="18"/>
              </w:rPr>
              <w:t>β</w:t>
            </w:r>
            <w:r w:rsidRPr="0752BA49">
              <w:rPr>
                <w:rFonts w:asciiTheme="minorHAnsi" w:eastAsiaTheme="minorEastAsia" w:hAnsiTheme="minorHAnsi" w:cstheme="minorBidi"/>
                <w:color w:val="282828"/>
                <w:sz w:val="18"/>
                <w:szCs w:val="18"/>
              </w:rPr>
              <w:t> = −0.691, </w:t>
            </w:r>
            <w:r w:rsidRPr="0752BA49">
              <w:rPr>
                <w:rFonts w:asciiTheme="minorHAnsi" w:eastAsiaTheme="minorEastAsia" w:hAnsiTheme="minorHAnsi" w:cstheme="minorBidi"/>
                <w:i/>
                <w:iCs/>
                <w:color w:val="282828"/>
                <w:sz w:val="18"/>
                <w:szCs w:val="18"/>
              </w:rPr>
              <w:t>p</w:t>
            </w:r>
            <w:r w:rsidRPr="0752BA49">
              <w:rPr>
                <w:rFonts w:asciiTheme="minorHAnsi" w:eastAsiaTheme="minorEastAsia" w:hAnsiTheme="minorHAnsi" w:cstheme="minorBidi"/>
                <w:color w:val="282828"/>
                <w:sz w:val="18"/>
                <w:szCs w:val="18"/>
              </w:rPr>
              <w:t> &lt; 0.001), school adaptation (</w:t>
            </w:r>
            <w:r w:rsidRPr="0752BA49">
              <w:rPr>
                <w:rFonts w:asciiTheme="minorHAnsi" w:eastAsiaTheme="minorEastAsia" w:hAnsiTheme="minorHAnsi" w:cstheme="minorBidi"/>
                <w:i/>
                <w:iCs/>
                <w:color w:val="282828"/>
                <w:sz w:val="18"/>
                <w:szCs w:val="18"/>
              </w:rPr>
              <w:t>β</w:t>
            </w:r>
            <w:r w:rsidRPr="0752BA49">
              <w:rPr>
                <w:rFonts w:asciiTheme="minorHAnsi" w:eastAsiaTheme="minorEastAsia" w:hAnsiTheme="minorHAnsi" w:cstheme="minorBidi"/>
                <w:color w:val="282828"/>
                <w:sz w:val="18"/>
                <w:szCs w:val="18"/>
              </w:rPr>
              <w:t> = 1.153, </w:t>
            </w:r>
            <w:r w:rsidRPr="0752BA49">
              <w:rPr>
                <w:rFonts w:asciiTheme="minorHAnsi" w:eastAsiaTheme="minorEastAsia" w:hAnsiTheme="minorHAnsi" w:cstheme="minorBidi"/>
                <w:i/>
                <w:iCs/>
                <w:color w:val="282828"/>
                <w:sz w:val="18"/>
                <w:szCs w:val="18"/>
              </w:rPr>
              <w:t>p</w:t>
            </w:r>
            <w:r w:rsidRPr="0752BA49">
              <w:rPr>
                <w:rFonts w:asciiTheme="minorHAnsi" w:eastAsiaTheme="minorEastAsia" w:hAnsiTheme="minorHAnsi" w:cstheme="minorBidi"/>
                <w:color w:val="282828"/>
                <w:sz w:val="18"/>
                <w:szCs w:val="18"/>
              </w:rPr>
              <w:t> &lt; 0.001), and school adaptation was significantly and positively correlated with mental health status (</w:t>
            </w:r>
            <w:r w:rsidRPr="0752BA49">
              <w:rPr>
                <w:rFonts w:asciiTheme="minorHAnsi" w:eastAsiaTheme="minorEastAsia" w:hAnsiTheme="minorHAnsi" w:cstheme="minorBidi"/>
                <w:i/>
                <w:iCs/>
                <w:color w:val="282828"/>
                <w:sz w:val="18"/>
                <w:szCs w:val="18"/>
              </w:rPr>
              <w:t>β</w:t>
            </w:r>
            <w:r w:rsidRPr="0752BA49">
              <w:rPr>
                <w:rFonts w:asciiTheme="minorHAnsi" w:eastAsiaTheme="minorEastAsia" w:hAnsiTheme="minorHAnsi" w:cstheme="minorBidi"/>
                <w:color w:val="282828"/>
                <w:sz w:val="18"/>
                <w:szCs w:val="18"/>
              </w:rPr>
              <w:t> = −0.287, </w:t>
            </w:r>
            <w:r w:rsidRPr="0752BA49">
              <w:rPr>
                <w:rFonts w:asciiTheme="minorHAnsi" w:eastAsiaTheme="minorEastAsia" w:hAnsiTheme="minorHAnsi" w:cstheme="minorBidi"/>
                <w:i/>
                <w:iCs/>
                <w:color w:val="282828"/>
                <w:sz w:val="18"/>
                <w:szCs w:val="18"/>
              </w:rPr>
              <w:t>p</w:t>
            </w:r>
            <w:r w:rsidRPr="0752BA49">
              <w:rPr>
                <w:rFonts w:asciiTheme="minorHAnsi" w:eastAsiaTheme="minorEastAsia" w:hAnsiTheme="minorHAnsi" w:cstheme="minorBidi"/>
                <w:color w:val="282828"/>
                <w:sz w:val="18"/>
                <w:szCs w:val="18"/>
              </w:rPr>
              <w:t> &lt; 0.001). The direct effect of physical activity on mental health status was 0.011 and the indirect effect of physical activity on school adaptation and school adaptation on mental health status was 0.024.</w:t>
            </w:r>
          </w:p>
          <w:p w14:paraId="071FF1F3" w14:textId="341C3F2A" w:rsidR="00467A01" w:rsidRPr="00467A01" w:rsidRDefault="00467A01" w:rsidP="0752BA49">
            <w:pPr>
              <w:pStyle w:val="mb0"/>
              <w:spacing w:before="0" w:beforeAutospacing="0" w:after="0" w:afterAutospacing="0"/>
              <w:rPr>
                <w:rFonts w:asciiTheme="minorHAnsi" w:eastAsiaTheme="minorEastAsia" w:hAnsiTheme="minorHAnsi" w:cstheme="minorBidi"/>
                <w:color w:val="282828"/>
                <w:sz w:val="18"/>
                <w:szCs w:val="18"/>
              </w:rPr>
            </w:pPr>
            <w:r w:rsidRPr="0752BA49">
              <w:rPr>
                <w:rFonts w:asciiTheme="minorHAnsi" w:eastAsiaTheme="minorEastAsia" w:hAnsiTheme="minorHAnsi" w:cstheme="minorBidi"/>
                <w:color w:val="282828"/>
                <w:sz w:val="18"/>
                <w:szCs w:val="18"/>
              </w:rPr>
              <w:t>Physical activity was positively related to mental health status and physical activity significantly and positively predicting mental health status; school adaptation was significantly and positively related to physical activity and mental health status, with school adaptation mediating between physical activity and mental health status.</w:t>
            </w:r>
          </w:p>
        </w:tc>
      </w:tr>
      <w:tr w:rsidR="00467A01" w:rsidRPr="005365AA" w14:paraId="72C05E45" w14:textId="77777777" w:rsidTr="0752BA49">
        <w:trPr>
          <w:trHeight w:val="300"/>
        </w:trPr>
        <w:tc>
          <w:tcPr>
            <w:tcW w:w="2837" w:type="dxa"/>
            <w:hideMark/>
          </w:tcPr>
          <w:p w14:paraId="445BA83F"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6225" w:type="dxa"/>
          </w:tcPr>
          <w:p w14:paraId="0B526383" w14:textId="1FE79C9D"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Tjelesna aktivnost, mentalno zdravlje, prevencija, škola, well being</w:t>
            </w:r>
          </w:p>
        </w:tc>
      </w:tr>
      <w:tr w:rsidR="00467A01" w:rsidRPr="005365AA" w14:paraId="6ED20113" w14:textId="77777777" w:rsidTr="0752BA49">
        <w:trPr>
          <w:trHeight w:val="300"/>
        </w:trPr>
        <w:tc>
          <w:tcPr>
            <w:tcW w:w="2837" w:type="dxa"/>
            <w:hideMark/>
          </w:tcPr>
          <w:p w14:paraId="58ED7A6C" w14:textId="77777777" w:rsidR="00467A01" w:rsidRPr="00FD688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6225" w:type="dxa"/>
          </w:tcPr>
          <w:p w14:paraId="297E56BB" w14:textId="5A01F8E0"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Aktivniji učenici bolje se prilagođavaju na školske zahtjeve, bolje razvijaju odnose sa školskim prijateljima i profesorima, sudjeluju više u grupnim zadatcima i bolje reguliraju emocije, što pomaže njihovom MZ. Socijalno-kognitivna teorija daje potvrdu ovakvim navodima, a prilagodba na školske zahtjeve objedinjuje socijalne kompetencije i antisocijalna ponašanja učenika, što u toj formativnoj dobi može biti ključno za MZ. Ovaj rad za </w:t>
            </w:r>
            <w:r w:rsidR="787A9543" w:rsidRPr="0752BA49">
              <w:rPr>
                <w:rFonts w:eastAsiaTheme="minorEastAsia"/>
                <w:sz w:val="18"/>
                <w:szCs w:val="18"/>
                <w:lang w:eastAsia="hr-HR"/>
              </w:rPr>
              <w:t>razliku</w:t>
            </w:r>
            <w:r w:rsidRPr="0752BA49">
              <w:rPr>
                <w:rFonts w:eastAsiaTheme="minorEastAsia"/>
                <w:sz w:val="18"/>
                <w:szCs w:val="18"/>
                <w:lang w:eastAsia="hr-HR"/>
              </w:rPr>
              <w:t xml:space="preserve"> od prethodnih koji utvrđuju korelacije između ovih konstrukata istražuje medijacijski učinak prilagodbe na školske zahtjeve na odnos između TA i samopercipiranog MZ. </w:t>
            </w:r>
          </w:p>
        </w:tc>
      </w:tr>
      <w:tr w:rsidR="00467A01" w:rsidRPr="005365AA" w14:paraId="533D7AE9" w14:textId="77777777" w:rsidTr="0752BA49">
        <w:trPr>
          <w:trHeight w:val="300"/>
        </w:trPr>
        <w:tc>
          <w:tcPr>
            <w:tcW w:w="2837" w:type="dxa"/>
            <w:hideMark/>
          </w:tcPr>
          <w:p w14:paraId="09801823"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122AAF4A"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5" w:type="dxa"/>
          </w:tcPr>
          <w:p w14:paraId="0A9362AF" w14:textId="327A7B19" w:rsidR="00467A01" w:rsidRPr="005365AA" w:rsidRDefault="09610C37"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Adolescen</w:t>
            </w:r>
            <w:r w:rsidR="0D5668FD" w:rsidRPr="0752BA49">
              <w:rPr>
                <w:rFonts w:eastAsiaTheme="minorEastAsia"/>
                <w:sz w:val="18"/>
                <w:szCs w:val="18"/>
                <w:lang w:eastAsia="hr-HR"/>
              </w:rPr>
              <w:t>c</w:t>
            </w:r>
            <w:r w:rsidRPr="0752BA49">
              <w:rPr>
                <w:rFonts w:eastAsiaTheme="minorEastAsia"/>
                <w:sz w:val="18"/>
                <w:szCs w:val="18"/>
                <w:lang w:eastAsia="hr-HR"/>
              </w:rPr>
              <w:t xml:space="preserve">ija je kritičan period za pitanja mentalnog </w:t>
            </w:r>
            <w:r w:rsidR="2204AA81" w:rsidRPr="0752BA49">
              <w:rPr>
                <w:rFonts w:eastAsiaTheme="minorEastAsia"/>
                <w:sz w:val="18"/>
                <w:szCs w:val="18"/>
                <w:lang w:eastAsia="hr-HR"/>
              </w:rPr>
              <w:t>zdravlja</w:t>
            </w:r>
            <w:r w:rsidRPr="0752BA49">
              <w:rPr>
                <w:rFonts w:eastAsiaTheme="minorEastAsia"/>
                <w:sz w:val="18"/>
                <w:szCs w:val="18"/>
                <w:lang w:eastAsia="hr-HR"/>
              </w:rPr>
              <w:t xml:space="preserve"> i razvoja. Tjelesna aktivnost značajno i pozitivno korelira sa MZ, a razina prilagod</w:t>
            </w:r>
            <w:r w:rsidR="763C2362" w:rsidRPr="0752BA49">
              <w:rPr>
                <w:rFonts w:eastAsiaTheme="minorEastAsia"/>
                <w:sz w:val="18"/>
                <w:szCs w:val="18"/>
                <w:lang w:eastAsia="hr-HR"/>
              </w:rPr>
              <w:t>b</w:t>
            </w:r>
            <w:r w:rsidRPr="0752BA49">
              <w:rPr>
                <w:rFonts w:eastAsiaTheme="minorEastAsia"/>
                <w:sz w:val="18"/>
                <w:szCs w:val="18"/>
                <w:lang w:eastAsia="hr-HR"/>
              </w:rPr>
              <w:t xml:space="preserve">e </w:t>
            </w:r>
            <w:r w:rsidR="1D77040C" w:rsidRPr="0752BA49">
              <w:rPr>
                <w:rFonts w:eastAsiaTheme="minorEastAsia"/>
                <w:sz w:val="18"/>
                <w:szCs w:val="18"/>
                <w:lang w:eastAsia="hr-HR"/>
              </w:rPr>
              <w:t>n</w:t>
            </w:r>
            <w:r w:rsidRPr="0752BA49">
              <w:rPr>
                <w:rFonts w:eastAsiaTheme="minorEastAsia"/>
                <w:sz w:val="18"/>
                <w:szCs w:val="18"/>
                <w:lang w:eastAsia="hr-HR"/>
              </w:rPr>
              <w:t xml:space="preserve">a školske zahtjeve moderira tu vezu. Učenici niže razine TA pokazuju izraženije simptome MZ na svih 9 </w:t>
            </w:r>
            <w:r w:rsidR="57A941FA" w:rsidRPr="0752BA49">
              <w:rPr>
                <w:rFonts w:eastAsiaTheme="minorEastAsia"/>
                <w:sz w:val="18"/>
                <w:szCs w:val="18"/>
                <w:lang w:eastAsia="hr-HR"/>
              </w:rPr>
              <w:t>dimenzija</w:t>
            </w:r>
            <w:r w:rsidRPr="0752BA49">
              <w:rPr>
                <w:rFonts w:eastAsiaTheme="minorEastAsia"/>
                <w:sz w:val="18"/>
                <w:szCs w:val="18"/>
                <w:lang w:eastAsia="hr-HR"/>
              </w:rPr>
              <w:t xml:space="preserve"> koje opisuju kliničke simptome. Tjelesno aktivniji učenici imali su razvijenije socijalne kompetencije i nižu izraženost antisocijalnog ponašanja. TA učenici koji sudjeluju u </w:t>
            </w:r>
            <w:r w:rsidR="1D37BFAB" w:rsidRPr="0752BA49">
              <w:rPr>
                <w:rFonts w:eastAsiaTheme="minorEastAsia"/>
                <w:sz w:val="18"/>
                <w:szCs w:val="18"/>
                <w:lang w:eastAsia="hr-HR"/>
              </w:rPr>
              <w:t>organiziranom</w:t>
            </w:r>
            <w:r w:rsidRPr="0752BA49">
              <w:rPr>
                <w:rFonts w:eastAsiaTheme="minorEastAsia"/>
                <w:sz w:val="18"/>
                <w:szCs w:val="18"/>
                <w:lang w:eastAsia="hr-HR"/>
              </w:rPr>
              <w:t xml:space="preserve"> školskom sportu bolje su socijalno integrirani što pomaže sveukupnoj boljoj prilagodbi na školsko okruženje.</w:t>
            </w:r>
          </w:p>
        </w:tc>
      </w:tr>
      <w:tr w:rsidR="00467A01" w:rsidRPr="005365AA" w14:paraId="45406168" w14:textId="77777777" w:rsidTr="0752BA49">
        <w:trPr>
          <w:trHeight w:val="300"/>
        </w:trPr>
        <w:tc>
          <w:tcPr>
            <w:tcW w:w="2837" w:type="dxa"/>
            <w:hideMark/>
          </w:tcPr>
          <w:p w14:paraId="78A12458"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58FC2CCB"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5" w:type="dxa"/>
          </w:tcPr>
          <w:p w14:paraId="381EFBB2" w14:textId="77777777" w:rsidR="00467A01"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Istraživanje je provedeno na velikom uzorku kineskih adolescenata (N=9701, dob: 12-18g., 30 škola), donosi statističke podatke o prevalenciji poteškoća mentalnog zdravlja među adolescentima.</w:t>
            </w:r>
          </w:p>
          <w:p w14:paraId="5D4F4614" w14:textId="55E2971D"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Ovaj nalaz da sudjelovanje u organiziranoj TA pomaže boljoj socijalnoj integraciji a time i boljoj prilagodbi na školsko okruženje dobar je argument kojim se može pojačati važnost TA u školskoj dobi, što pozitivno djeluje i na MZ učenika </w:t>
            </w:r>
            <w:r w:rsidR="4ECB2E35" w:rsidRPr="0752BA49">
              <w:rPr>
                <w:rFonts w:eastAsiaTheme="minorEastAsia"/>
                <w:sz w:val="18"/>
                <w:szCs w:val="18"/>
                <w:lang w:eastAsia="hr-HR"/>
              </w:rPr>
              <w:t>adolescenata</w:t>
            </w:r>
            <w:r w:rsidRPr="0752BA49">
              <w:rPr>
                <w:rFonts w:eastAsiaTheme="minorEastAsia"/>
                <w:sz w:val="18"/>
                <w:szCs w:val="18"/>
                <w:lang w:eastAsia="hr-HR"/>
              </w:rPr>
              <w:t>!</w:t>
            </w:r>
          </w:p>
        </w:tc>
      </w:tr>
      <w:tr w:rsidR="00467A01" w:rsidRPr="005365AA" w14:paraId="4CDEAE4C" w14:textId="77777777" w:rsidTr="0752BA49">
        <w:trPr>
          <w:trHeight w:val="300"/>
        </w:trPr>
        <w:tc>
          <w:tcPr>
            <w:tcW w:w="2837" w:type="dxa"/>
            <w:hideMark/>
          </w:tcPr>
          <w:p w14:paraId="51E59B16" w14:textId="77777777" w:rsidR="00467A01" w:rsidRPr="005365AA" w:rsidRDefault="00467A01"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6225" w:type="dxa"/>
          </w:tcPr>
          <w:p w14:paraId="0AD109BD" w14:textId="77777777" w:rsidR="00467A01"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Rad koristi check listu mentalnog zdravlja od 90 pitanja grupiranih u 9 dimenzija iz kojih se može dobiti indeks MZ (dimenzije: somatizacija, OKP simptomi, </w:t>
            </w:r>
            <w:r w:rsidRPr="0752BA49">
              <w:rPr>
                <w:rFonts w:eastAsiaTheme="minorEastAsia"/>
                <w:sz w:val="18"/>
                <w:szCs w:val="18"/>
                <w:lang w:eastAsia="hr-HR"/>
              </w:rPr>
              <w:lastRenderedPageBreak/>
              <w:t xml:space="preserve">interpersonalna senzibilnost, depresija, anksioznost, hostilnost, fobije, paranoidni simptomi i psihoticizam). </w:t>
            </w:r>
          </w:p>
          <w:p w14:paraId="707B7FB1" w14:textId="106F4405" w:rsidR="00467A01" w:rsidRPr="005365AA" w:rsidRDefault="00467A0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Podatci su prikupljeni u Kini  u doba Covida (2020-21) pa su poteškoće MZ bile izraženije!</w:t>
            </w:r>
          </w:p>
        </w:tc>
      </w:tr>
    </w:tbl>
    <w:p w14:paraId="441836B7" w14:textId="77777777" w:rsidR="00467A01" w:rsidRDefault="00467A01" w:rsidP="005365AA"/>
    <w:tbl>
      <w:tblPr>
        <w:tblW w:w="0" w:type="auto"/>
        <w:tblLook w:val="04A0" w:firstRow="1" w:lastRow="0" w:firstColumn="1" w:lastColumn="0" w:noHBand="0" w:noVBand="1"/>
      </w:tblPr>
      <w:tblGrid>
        <w:gridCol w:w="2833"/>
        <w:gridCol w:w="6219"/>
      </w:tblGrid>
      <w:tr w:rsidR="723C9DD8" w14:paraId="024FE5D5"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04DC7E91" w14:textId="3B14DDEB" w:rsidR="723C9DD8" w:rsidRDefault="33D10D42"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Referenca</w:t>
            </w:r>
            <w:r w:rsidR="43130E9E"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30D06734" w14:textId="42DE19AC" w:rsidR="723C9DD8" w:rsidRDefault="1C466065" w:rsidP="0752BA49">
            <w:pPr>
              <w:spacing w:after="0"/>
              <w:rPr>
                <w:rFonts w:eastAsiaTheme="minorEastAsia"/>
                <w:sz w:val="18"/>
                <w:szCs w:val="18"/>
              </w:rPr>
            </w:pPr>
            <w:r w:rsidRPr="0752BA49">
              <w:rPr>
                <w:rFonts w:eastAsiaTheme="minorEastAsia"/>
                <w:sz w:val="18"/>
                <w:szCs w:val="18"/>
              </w:rPr>
              <w:t>Tamás, B., Géczi, G., Gurisatti, L., Gábor, L., Baracskai, Z. &amp; Géczi, G. (2024). Executive Functions and Competitive Attitudes in Near-Elite Ice Hockey Players. Physical Culture and Sport. Studies and Research, 104(1), 2024. 15-24. https://doi.org/10.2478/pcssr-2024-0015</w:t>
            </w:r>
          </w:p>
        </w:tc>
      </w:tr>
      <w:tr w:rsidR="723C9DD8" w14:paraId="5AAF6B0F"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21AA1325" w14:textId="7EBF4005"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Link</w:t>
            </w: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0C94BE12" w14:textId="6E19D9BA" w:rsidR="723C9DD8" w:rsidRDefault="000D719D" w:rsidP="0752BA49">
            <w:pPr>
              <w:spacing w:after="0"/>
              <w:rPr>
                <w:rFonts w:eastAsiaTheme="minorEastAsia"/>
                <w:sz w:val="18"/>
                <w:szCs w:val="18"/>
              </w:rPr>
            </w:pPr>
            <w:hyperlink r:id="rId9">
              <w:r w:rsidR="43130E9E" w:rsidRPr="0752BA49">
                <w:rPr>
                  <w:rStyle w:val="Hiperveza"/>
                  <w:rFonts w:eastAsiaTheme="minorEastAsia"/>
                  <w:sz w:val="18"/>
                  <w:szCs w:val="18"/>
                </w:rPr>
                <w:t>https://doi.org/10.2478/pcssr-2024-0015</w:t>
              </w:r>
            </w:hyperlink>
          </w:p>
        </w:tc>
      </w:tr>
      <w:tr w:rsidR="723C9DD8" w14:paraId="2A4CF4E6"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47159D01" w14:textId="5EB36B91" w:rsidR="723C9DD8" w:rsidRDefault="43130E9E"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Područje-tema</w:t>
            </w:r>
          </w:p>
        </w:tc>
        <w:tc>
          <w:tcPr>
            <w:tcW w:w="6225" w:type="dxa"/>
            <w:tcBorders>
              <w:top w:val="single" w:sz="8" w:space="0" w:color="auto"/>
              <w:left w:val="single" w:sz="8" w:space="0" w:color="auto"/>
              <w:bottom w:val="single" w:sz="8" w:space="0" w:color="auto"/>
              <w:right w:val="single" w:sz="8" w:space="0" w:color="auto"/>
            </w:tcBorders>
          </w:tcPr>
          <w:p w14:paraId="6B010A6A" w14:textId="07A973BE" w:rsidR="723C9DD8" w:rsidRDefault="43130E9E" w:rsidP="0752BA49">
            <w:pPr>
              <w:spacing w:after="0"/>
              <w:rPr>
                <w:rFonts w:eastAsiaTheme="minorEastAsia"/>
                <w:sz w:val="18"/>
                <w:szCs w:val="18"/>
              </w:rPr>
            </w:pPr>
            <w:r w:rsidRPr="0752BA49">
              <w:rPr>
                <w:rFonts w:eastAsiaTheme="minorEastAsia"/>
                <w:sz w:val="18"/>
                <w:szCs w:val="18"/>
              </w:rPr>
              <w:t xml:space="preserve">Tjelesna aktivnost i mentalno zdravlje </w:t>
            </w:r>
          </w:p>
        </w:tc>
      </w:tr>
      <w:tr w:rsidR="723C9DD8" w14:paraId="4BB64277"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1CAE7955" w14:textId="61C16F76" w:rsidR="723C9DD8" w:rsidRDefault="43130E9E"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Pripremila/pripremio</w:t>
            </w:r>
          </w:p>
        </w:tc>
        <w:tc>
          <w:tcPr>
            <w:tcW w:w="6225" w:type="dxa"/>
            <w:tcBorders>
              <w:top w:val="single" w:sz="8" w:space="0" w:color="auto"/>
              <w:left w:val="single" w:sz="8" w:space="0" w:color="auto"/>
              <w:bottom w:val="single" w:sz="8" w:space="0" w:color="auto"/>
              <w:right w:val="single" w:sz="8" w:space="0" w:color="auto"/>
            </w:tcBorders>
          </w:tcPr>
          <w:p w14:paraId="3CE6B69C" w14:textId="3C6872CC" w:rsidR="723C9DD8" w:rsidRDefault="43130E9E" w:rsidP="0752BA49">
            <w:pPr>
              <w:spacing w:after="0"/>
              <w:rPr>
                <w:rFonts w:eastAsiaTheme="minorEastAsia"/>
                <w:sz w:val="18"/>
                <w:szCs w:val="18"/>
              </w:rPr>
            </w:pPr>
            <w:r w:rsidRPr="0752BA49">
              <w:rPr>
                <w:rFonts w:eastAsiaTheme="minorEastAsia"/>
                <w:sz w:val="18"/>
                <w:szCs w:val="18"/>
              </w:rPr>
              <w:t xml:space="preserve">Renata Barić </w:t>
            </w:r>
          </w:p>
        </w:tc>
      </w:tr>
      <w:tr w:rsidR="723C9DD8" w14:paraId="2CBBC29B"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3B55FCDE" w14:textId="0324C574"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Categorisation</w:t>
            </w:r>
            <w:r w:rsidRPr="0752BA49">
              <w:rPr>
                <w:rFonts w:eastAsiaTheme="minorEastAsia"/>
                <w:b/>
                <w:bCs/>
                <w:color w:val="000000" w:themeColor="text1"/>
                <w:sz w:val="18"/>
                <w:szCs w:val="18"/>
              </w:rPr>
              <w:t xml:space="preserve"> </w:t>
            </w:r>
          </w:p>
          <w:p w14:paraId="59FBCE84" w14:textId="4C81C890" w:rsidR="723C9DD8" w:rsidRDefault="43130E9E"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1 – esencijalan</w:t>
            </w:r>
          </w:p>
          <w:p w14:paraId="0617600E" w14:textId="14511863" w:rsidR="723C9DD8" w:rsidRDefault="43130E9E"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2 – koristan</w:t>
            </w:r>
          </w:p>
          <w:p w14:paraId="733F8A15" w14:textId="1B894259" w:rsidR="723C9DD8" w:rsidRDefault="43130E9E"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3 – potencijalno koristan</w:t>
            </w:r>
          </w:p>
          <w:p w14:paraId="0981CE45" w14:textId="56A7FA4C" w:rsidR="723C9DD8" w:rsidRDefault="43130E9E" w:rsidP="0752BA49">
            <w:pPr>
              <w:spacing w:after="0"/>
              <w:rPr>
                <w:rFonts w:eastAsiaTheme="minorEastAsia"/>
                <w:b/>
                <w:bCs/>
                <w:color w:val="000000" w:themeColor="text1"/>
                <w:sz w:val="18"/>
                <w:szCs w:val="18"/>
              </w:rPr>
            </w:pPr>
            <w:r w:rsidRPr="0752BA49">
              <w:rPr>
                <w:rFonts w:eastAsiaTheme="minorEastAsia"/>
                <w:color w:val="000000" w:themeColor="text1"/>
                <w:sz w:val="18"/>
                <w:szCs w:val="18"/>
                <w:lang w:val="en-GB"/>
              </w:rPr>
              <w:t>4 – ima zanimljiv dio</w:t>
            </w: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57DD6AAC" w14:textId="28A95CCE" w:rsidR="723C9DD8" w:rsidRDefault="43130E9E" w:rsidP="0752BA49">
            <w:pPr>
              <w:spacing w:after="0"/>
              <w:rPr>
                <w:rFonts w:eastAsiaTheme="minorEastAsia"/>
                <w:color w:val="4472C4" w:themeColor="accent1"/>
                <w:sz w:val="18"/>
                <w:szCs w:val="18"/>
              </w:rPr>
            </w:pPr>
            <w:r w:rsidRPr="0752BA49">
              <w:rPr>
                <w:rFonts w:eastAsiaTheme="minorEastAsia"/>
                <w:color w:val="4472C4" w:themeColor="accent1"/>
                <w:sz w:val="18"/>
                <w:szCs w:val="18"/>
              </w:rPr>
              <w:t xml:space="preserve">   </w:t>
            </w:r>
          </w:p>
          <w:p w14:paraId="32B4E361" w14:textId="715CD398" w:rsidR="723C9DD8" w:rsidRDefault="43130E9E" w:rsidP="0752BA49">
            <w:pPr>
              <w:spacing w:after="0"/>
              <w:rPr>
                <w:rFonts w:eastAsiaTheme="minorEastAsia"/>
                <w:color w:val="4472C4" w:themeColor="accent1"/>
                <w:sz w:val="18"/>
                <w:szCs w:val="18"/>
              </w:rPr>
            </w:pPr>
            <w:r w:rsidRPr="0752BA49">
              <w:rPr>
                <w:rFonts w:eastAsiaTheme="minorEastAsia"/>
                <w:color w:val="4472C4" w:themeColor="accent1"/>
                <w:sz w:val="18"/>
                <w:szCs w:val="18"/>
              </w:rPr>
              <w:t xml:space="preserve"> </w:t>
            </w:r>
          </w:p>
          <w:p w14:paraId="2563C340" w14:textId="54BFCD8A" w:rsidR="723C9DD8" w:rsidRDefault="43130E9E" w:rsidP="0752BA49">
            <w:pPr>
              <w:spacing w:after="0"/>
              <w:rPr>
                <w:rFonts w:eastAsiaTheme="minorEastAsia"/>
                <w:b/>
                <w:bCs/>
                <w:color w:val="4472C4" w:themeColor="accent1"/>
                <w:sz w:val="18"/>
                <w:szCs w:val="18"/>
              </w:rPr>
            </w:pPr>
            <w:r w:rsidRPr="0752BA49">
              <w:rPr>
                <w:rFonts w:eastAsiaTheme="minorEastAsia"/>
                <w:b/>
                <w:bCs/>
                <w:color w:val="4472C4" w:themeColor="accent1"/>
                <w:sz w:val="18"/>
                <w:szCs w:val="18"/>
              </w:rPr>
              <w:t xml:space="preserve"> 2</w:t>
            </w:r>
          </w:p>
        </w:tc>
      </w:tr>
      <w:tr w:rsidR="723C9DD8" w14:paraId="457DB245"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039736F1" w14:textId="0C4F7370" w:rsidR="723C9DD8" w:rsidRDefault="43130E9E" w:rsidP="0752BA49">
            <w:pPr>
              <w:spacing w:after="0"/>
              <w:rPr>
                <w:rFonts w:eastAsiaTheme="minorEastAsia"/>
                <w:b/>
                <w:bCs/>
                <w:sz w:val="18"/>
                <w:szCs w:val="18"/>
              </w:rPr>
            </w:pPr>
            <w:r w:rsidRPr="0752BA49">
              <w:rPr>
                <w:rFonts w:eastAsiaTheme="minorEastAsia"/>
                <w:b/>
                <w:bCs/>
                <w:sz w:val="18"/>
                <w:szCs w:val="18"/>
              </w:rPr>
              <w:t>Sažetak (kopija)</w:t>
            </w:r>
          </w:p>
          <w:p w14:paraId="4F083A1E" w14:textId="40FF1228"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61DA3164" w14:textId="0D109D96" w:rsidR="723C9DD8" w:rsidRDefault="43130E9E" w:rsidP="0752BA49">
            <w:pPr>
              <w:spacing w:after="0"/>
              <w:rPr>
                <w:rFonts w:eastAsiaTheme="minorEastAsia"/>
                <w:sz w:val="18"/>
                <w:szCs w:val="18"/>
              </w:rPr>
            </w:pPr>
            <w:r w:rsidRPr="0752BA49">
              <w:rPr>
                <w:rFonts w:eastAsiaTheme="minorEastAsia"/>
                <w:sz w:val="18"/>
                <w:szCs w:val="18"/>
              </w:rPr>
              <w:t xml:space="preserve"> Physical literacy (PL) is a lifelong process of developing the motivation, confidence, physical competence, knowledge and understanding to value and take responsibility for engaging in physical activity throughout life. It is also an important concept for understanding and promoting physical activity in children and adolescents and is becoming a theoretical basis for analysing physical education in schools. One of the best known, well-operationalised assessments of PL is the Canadian Assessment of Physical Literacy – CAPL-2. The aim of the study was to translate and culturally adapt the CAPL-2 questionnaires in two EU languages, German and Polish. Data from Poland and Germany were combined for this study, with a total sample size of N=802, consisting of 58.6% Polish and 41.4% German students. We used the TRAPD (the Translation, Review, Adjudication, Pre-test and Documentation) approach to translate the CAPL-2 questionnaires. The main results of this study show that the proposed Polish and German versions of the CAPL-2 questionnaires are satisfactory for use in research or for teachers to assess PL in physical education. Our results also indicate better predictive characteristics of the CAPL-2 questionnaires for children who are very close to or who meet the moderate-to-vigorous physical activity (MVPA) recommendations for health as defined by the WHO. We recommend that adaptations be made that are consistent with the original Canadian version, but which are deeply embedded in the language and culture of the country in question, especially in their wording and terminology</w:t>
            </w:r>
          </w:p>
        </w:tc>
      </w:tr>
      <w:tr w:rsidR="723C9DD8" w14:paraId="39893CA1"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2E66F3CD" w14:textId="20E5DEBE" w:rsidR="723C9DD8" w:rsidRDefault="43130E9E"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Ključne riječi</w:t>
            </w:r>
          </w:p>
        </w:tc>
        <w:tc>
          <w:tcPr>
            <w:tcW w:w="6225" w:type="dxa"/>
            <w:tcBorders>
              <w:top w:val="single" w:sz="8" w:space="0" w:color="auto"/>
              <w:left w:val="single" w:sz="8" w:space="0" w:color="auto"/>
              <w:bottom w:val="single" w:sz="8" w:space="0" w:color="auto"/>
              <w:right w:val="single" w:sz="8" w:space="0" w:color="auto"/>
            </w:tcBorders>
          </w:tcPr>
          <w:p w14:paraId="50E13BD7" w14:textId="6FBE4DC6" w:rsidR="723C9DD8" w:rsidRDefault="43130E9E" w:rsidP="0752BA49">
            <w:pPr>
              <w:spacing w:after="0"/>
              <w:rPr>
                <w:rFonts w:eastAsiaTheme="minorEastAsia"/>
                <w:sz w:val="18"/>
                <w:szCs w:val="18"/>
              </w:rPr>
            </w:pPr>
            <w:r w:rsidRPr="0752BA49">
              <w:rPr>
                <w:rFonts w:eastAsiaTheme="minorEastAsia"/>
                <w:sz w:val="18"/>
                <w:szCs w:val="18"/>
              </w:rPr>
              <w:t xml:space="preserve"> osnovnoškolska djeca, tjelesna aktivnost, test-retest, motivacija, znanje</w:t>
            </w:r>
          </w:p>
        </w:tc>
      </w:tr>
      <w:tr w:rsidR="723C9DD8" w14:paraId="229E2ABD"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4831436C" w14:textId="4D5AFEB2" w:rsidR="723C9DD8" w:rsidRDefault="43130E9E" w:rsidP="0752BA49">
            <w:pPr>
              <w:spacing w:after="0"/>
              <w:rPr>
                <w:rFonts w:eastAsiaTheme="minorEastAsia"/>
                <w:b/>
                <w:bCs/>
                <w:sz w:val="18"/>
                <w:szCs w:val="18"/>
              </w:rPr>
            </w:pPr>
            <w:r w:rsidRPr="0752BA49">
              <w:rPr>
                <w:rFonts w:eastAsiaTheme="minorEastAsia"/>
                <w:b/>
                <w:bCs/>
                <w:sz w:val="18"/>
                <w:szCs w:val="18"/>
              </w:rPr>
              <w:t>Kratki opis</w:t>
            </w:r>
          </w:p>
        </w:tc>
        <w:tc>
          <w:tcPr>
            <w:tcW w:w="6225" w:type="dxa"/>
            <w:tcBorders>
              <w:top w:val="single" w:sz="8" w:space="0" w:color="auto"/>
              <w:left w:val="single" w:sz="8" w:space="0" w:color="auto"/>
              <w:bottom w:val="single" w:sz="8" w:space="0" w:color="auto"/>
              <w:right w:val="single" w:sz="8" w:space="0" w:color="auto"/>
            </w:tcBorders>
          </w:tcPr>
          <w:p w14:paraId="387BE1F3" w14:textId="6B141B28" w:rsidR="723C9DD8" w:rsidRDefault="43130E9E" w:rsidP="0752BA49">
            <w:pPr>
              <w:spacing w:after="0"/>
              <w:rPr>
                <w:rFonts w:eastAsiaTheme="minorEastAsia"/>
                <w:sz w:val="18"/>
                <w:szCs w:val="18"/>
              </w:rPr>
            </w:pPr>
            <w:r w:rsidRPr="0752BA49">
              <w:rPr>
                <w:rFonts w:eastAsiaTheme="minorEastAsia"/>
                <w:sz w:val="18"/>
                <w:szCs w:val="18"/>
              </w:rPr>
              <w:t xml:space="preserve"> CAPL-2 upitnik za procjenu tjelesne pismenosti do sada je validiran u 6 različitih zemalja diljem svijeta, autori rada ga ističu kao svjetski najpriznatiji instrument za procjenu TP. Cilj rada je prevesti, kulturalno adaptirati i validirati poljsku i njemačku verziju upitnika na uzorku djece 8-12 g. te usporediti rezultate. Napravljena je i test-retest analiza pouzdanosti na oba subuzorka (N=131 za oba)</w:t>
            </w:r>
          </w:p>
          <w:p w14:paraId="6F976753" w14:textId="2029140F" w:rsidR="723C9DD8" w:rsidRDefault="43130E9E" w:rsidP="0752BA49">
            <w:pPr>
              <w:spacing w:after="0"/>
              <w:rPr>
                <w:rFonts w:eastAsiaTheme="minorEastAsia"/>
                <w:sz w:val="18"/>
                <w:szCs w:val="18"/>
              </w:rPr>
            </w:pPr>
            <w:r w:rsidRPr="0752BA49">
              <w:rPr>
                <w:rFonts w:eastAsiaTheme="minorEastAsia"/>
                <w:sz w:val="18"/>
                <w:szCs w:val="18"/>
              </w:rPr>
              <w:t xml:space="preserve">Broj sudionika u uzorku izračunali su Cohranovom formulom na temelju ukupnog broja školske djece te dobi u godini istraživanja (podatak državne statistike), pa su onda izračunali koliki je minimalan broj. Provjerili su pouzdanost subskala i cijelog upitnika za poljsku i njemačku verziju, normalitete distribucija i interkorelacije. Distribucije rezultata odstupaju od normalne, osobito u njemačkom poduzorku. U svakom poduzorku sve subskale značajno i pozitivno koreliraju međusobno i s ukupnim rezultatom. Dobivena je zadovoljavajuća pouzdanost subskala (0.6-0.9; Cronbach alpha i test-retest), s izuzetkom dimenzije znanje i razumijevanje u oba oduzorka (p 0.567, nj 0.612), ali autori navode da je ukupni skor pokazao dobru pouzdanost pa je ova niža spomenuta ranije ok. Prediktivnu valjanost upitnika  procijenili su temeljem usporedbe s razinom samoporcijenjene tjelesne aktivnosti - mjerom MVPA (selfreported moderate to vigourous PA) gdje je dobivena </w:t>
            </w:r>
            <w:r w:rsidRPr="0752BA49">
              <w:rPr>
                <w:rFonts w:eastAsiaTheme="minorEastAsia"/>
                <w:sz w:val="18"/>
                <w:szCs w:val="18"/>
              </w:rPr>
              <w:lastRenderedPageBreak/>
              <w:t>umjerena pouzdanost. Autori navode da su obe verzije upitnika u redu za upotrebu u istraživanjima ili u praksi, na nastavi TZK</w:t>
            </w:r>
          </w:p>
        </w:tc>
      </w:tr>
      <w:tr w:rsidR="723C9DD8" w14:paraId="4352FBB1"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6C44768C" w14:textId="247E565C" w:rsidR="723C9DD8" w:rsidRDefault="43130E9E"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lastRenderedPageBreak/>
              <w:t>Ključni nalazi</w:t>
            </w:r>
          </w:p>
          <w:p w14:paraId="4ECFD1C6" w14:textId="2D5E1BB8"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7D06E3AE" w14:textId="1669A5D1" w:rsidR="723C9DD8" w:rsidRDefault="5772E19F" w:rsidP="0752BA49">
            <w:pPr>
              <w:spacing w:after="0"/>
              <w:rPr>
                <w:rFonts w:eastAsiaTheme="minorEastAsia"/>
                <w:sz w:val="18"/>
                <w:szCs w:val="18"/>
              </w:rPr>
            </w:pPr>
            <w:r w:rsidRPr="0752BA49">
              <w:rPr>
                <w:rFonts w:eastAsiaTheme="minorEastAsia"/>
                <w:sz w:val="18"/>
                <w:szCs w:val="18"/>
              </w:rPr>
              <w:t xml:space="preserve"> Dobiveno je blago odstupanje od normalne distribucije i na razini poljskih i njemačkih rezultata. U njemačkom subuzorku bilo je veće pa je korištena neparametrija (Spearman rho). Dobiveni su uredni koeficijenti pouzdanosti, nešto niži za subskalu znanje i razumijevanje. Rezultati pokazuju da je upitnik prediktivniji za procjenu TA djece koja su aktivnija, (6 ili 7 dana u tjednu) što navode minimalnom razinom preporučenom od WHO. Rezultati pokazuju da su učenici s višom razinom motivacije i samopouzdanja vezanog uz TA i aktivniji, dok to nije potvrđeno za dimenziju znanje i razumijevanje TA (što je dobiveno i u Kini i Pakistanu). Autori ističu da su poljska i njemačka verzija CAPL 2 valjani i pouzdani mjerni instrumenti za procjenu TP u osnovnoškolaca, ali preporučaju upotrebu upitnika kod djece 10-12 g te up</w:t>
            </w:r>
            <w:r w:rsidR="1231D63B" w:rsidRPr="0752BA49">
              <w:rPr>
                <w:rFonts w:eastAsiaTheme="minorEastAsia"/>
                <w:sz w:val="18"/>
                <w:szCs w:val="18"/>
              </w:rPr>
              <w:t>o</w:t>
            </w:r>
            <w:r w:rsidRPr="0752BA49">
              <w:rPr>
                <w:rFonts w:eastAsiaTheme="minorEastAsia"/>
                <w:sz w:val="18"/>
                <w:szCs w:val="18"/>
              </w:rPr>
              <w:t>trebu istog za screening stanja i po</w:t>
            </w:r>
            <w:r w:rsidR="4E07E2EC" w:rsidRPr="0752BA49">
              <w:rPr>
                <w:rFonts w:eastAsiaTheme="minorEastAsia"/>
                <w:sz w:val="18"/>
                <w:szCs w:val="18"/>
              </w:rPr>
              <w:t>d</w:t>
            </w:r>
            <w:r w:rsidRPr="0752BA49">
              <w:rPr>
                <w:rFonts w:eastAsiaTheme="minorEastAsia"/>
                <w:sz w:val="18"/>
                <w:szCs w:val="18"/>
              </w:rPr>
              <w:t>logu za kreiranje intervencija.</w:t>
            </w:r>
          </w:p>
        </w:tc>
      </w:tr>
      <w:tr w:rsidR="723C9DD8" w14:paraId="79523A31"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44D2C94D" w14:textId="4547A7B9"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Kako može koristiti na MentiFit projektu?</w:t>
            </w:r>
            <w:r w:rsidRPr="0752BA49">
              <w:rPr>
                <w:rFonts w:eastAsiaTheme="minorEastAsia"/>
                <w:b/>
                <w:bCs/>
                <w:color w:val="000000" w:themeColor="text1"/>
                <w:sz w:val="18"/>
                <w:szCs w:val="18"/>
              </w:rPr>
              <w:t xml:space="preserve"> </w:t>
            </w:r>
          </w:p>
          <w:p w14:paraId="5A4E6967" w14:textId="44371485"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256D6EC3" w14:textId="061F2C0E" w:rsidR="723C9DD8" w:rsidRDefault="43130E9E" w:rsidP="0752BA49">
            <w:pPr>
              <w:spacing w:after="0"/>
              <w:rPr>
                <w:rFonts w:eastAsiaTheme="minorEastAsia"/>
                <w:sz w:val="18"/>
                <w:szCs w:val="18"/>
              </w:rPr>
            </w:pPr>
            <w:r w:rsidRPr="0752BA49">
              <w:rPr>
                <w:rFonts w:eastAsiaTheme="minorEastAsia"/>
                <w:sz w:val="18"/>
                <w:szCs w:val="18"/>
              </w:rPr>
              <w:t xml:space="preserve"> U radu su navedeni postupci validacije svih 6 zemalja, što može koristiti u opisu našeg postupka u objavi rada za validaciju hrvatske verzije CAPL-2 upitnika,  osim što su sve te reference na jednom mjestu i sve je opisano. Također autori argumentiraju zašto je važno ispitati sve dimenzije TP (kognitivnu, afektivnu, tjelesnu, bihevioralnu), što može poslužiti kao referenca u našim radovima budući da ćemo mi tako to napraviti.</w:t>
            </w:r>
          </w:p>
          <w:p w14:paraId="144FB675" w14:textId="56B8C5C6" w:rsidR="723C9DD8" w:rsidRDefault="43130E9E" w:rsidP="0752BA49">
            <w:pPr>
              <w:spacing w:after="0"/>
              <w:rPr>
                <w:rFonts w:eastAsiaTheme="minorEastAsia"/>
                <w:sz w:val="18"/>
                <w:szCs w:val="18"/>
              </w:rPr>
            </w:pPr>
            <w:r w:rsidRPr="0752BA49">
              <w:rPr>
                <w:rFonts w:eastAsiaTheme="minorEastAsia"/>
                <w:sz w:val="18"/>
                <w:szCs w:val="18"/>
              </w:rPr>
              <w:t>Rad ma kratak i jasna opis CAPL-2 upitnika</w:t>
            </w:r>
          </w:p>
        </w:tc>
      </w:tr>
      <w:tr w:rsidR="723C9DD8" w14:paraId="555527DF" w14:textId="77777777" w:rsidTr="0752BA49">
        <w:trPr>
          <w:trHeight w:val="300"/>
        </w:trPr>
        <w:tc>
          <w:tcPr>
            <w:tcW w:w="2835" w:type="dxa"/>
            <w:tcBorders>
              <w:top w:val="single" w:sz="8" w:space="0" w:color="auto"/>
              <w:left w:val="single" w:sz="8" w:space="0" w:color="auto"/>
              <w:bottom w:val="single" w:sz="8" w:space="0" w:color="auto"/>
              <w:right w:val="single" w:sz="8" w:space="0" w:color="auto"/>
            </w:tcBorders>
          </w:tcPr>
          <w:p w14:paraId="4EA15751" w14:textId="768BC479" w:rsidR="723C9DD8" w:rsidRDefault="43130E9E"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 xml:space="preserve">Komentar, pitanje… </w:t>
            </w:r>
            <w:r w:rsidRPr="0752BA49">
              <w:rPr>
                <w:rFonts w:eastAsiaTheme="minorEastAsia"/>
                <w:b/>
                <w:bCs/>
                <w:color w:val="000000" w:themeColor="text1"/>
                <w:sz w:val="18"/>
                <w:szCs w:val="18"/>
              </w:rPr>
              <w:t xml:space="preserve"> </w:t>
            </w:r>
          </w:p>
        </w:tc>
        <w:tc>
          <w:tcPr>
            <w:tcW w:w="6225" w:type="dxa"/>
            <w:tcBorders>
              <w:top w:val="single" w:sz="8" w:space="0" w:color="auto"/>
              <w:left w:val="single" w:sz="8" w:space="0" w:color="auto"/>
              <w:bottom w:val="single" w:sz="8" w:space="0" w:color="auto"/>
              <w:right w:val="single" w:sz="8" w:space="0" w:color="auto"/>
            </w:tcBorders>
          </w:tcPr>
          <w:p w14:paraId="18228A2F" w14:textId="5B3E37EE" w:rsidR="723C9DD8" w:rsidRDefault="43130E9E" w:rsidP="0752BA49">
            <w:pPr>
              <w:spacing w:after="0"/>
              <w:rPr>
                <w:rFonts w:eastAsiaTheme="minorEastAsia"/>
                <w:sz w:val="18"/>
                <w:szCs w:val="18"/>
              </w:rPr>
            </w:pPr>
            <w:r w:rsidRPr="0752BA49">
              <w:rPr>
                <w:rFonts w:eastAsiaTheme="minorEastAsia"/>
                <w:sz w:val="18"/>
                <w:szCs w:val="18"/>
              </w:rPr>
              <w:t>U radu je opisana TRAPD metoda za prijevod upitnika koja ne uključuje back-translation već se sastoji od koraka: prijevod, pregled, pretest, prosuđivanje, dokumentiranost) što je ok znati, a rad može poslužiti i kao referenca</w:t>
            </w:r>
          </w:p>
          <w:p w14:paraId="7A2E3B6D" w14:textId="4AEB0957" w:rsidR="723C9DD8" w:rsidRDefault="43130E9E" w:rsidP="0752BA49">
            <w:pPr>
              <w:spacing w:after="0"/>
              <w:rPr>
                <w:rFonts w:eastAsiaTheme="minorEastAsia"/>
                <w:sz w:val="18"/>
                <w:szCs w:val="18"/>
              </w:rPr>
            </w:pPr>
            <w:r w:rsidRPr="0752BA49">
              <w:rPr>
                <w:rFonts w:eastAsiaTheme="minorEastAsia"/>
                <w:sz w:val="18"/>
                <w:szCs w:val="18"/>
              </w:rPr>
              <w:t>Autori su proveli pilot testiranje na manjoj grupi djece da vide je li im upitnik jasan.</w:t>
            </w:r>
          </w:p>
          <w:p w14:paraId="5E187E9B" w14:textId="502B7273" w:rsidR="723C9DD8" w:rsidRDefault="43130E9E" w:rsidP="0752BA49">
            <w:pPr>
              <w:spacing w:after="0"/>
              <w:rPr>
                <w:rFonts w:eastAsiaTheme="minorEastAsia"/>
                <w:sz w:val="18"/>
                <w:szCs w:val="18"/>
              </w:rPr>
            </w:pPr>
            <w:r w:rsidRPr="0752BA49">
              <w:rPr>
                <w:rFonts w:eastAsiaTheme="minorEastAsia"/>
                <w:sz w:val="18"/>
                <w:szCs w:val="18"/>
              </w:rPr>
              <w:t>Autori nisu provjerili strukturu upitnika faktorskom a. ili sl.!</w:t>
            </w:r>
          </w:p>
        </w:tc>
      </w:tr>
    </w:tbl>
    <w:p w14:paraId="1DCDCD23" w14:textId="7CFF536E" w:rsidR="723C9DD8" w:rsidRDefault="723C9DD8"/>
    <w:p w14:paraId="4BACD8F5" w14:textId="7F02BC15" w:rsidR="723C9DD8" w:rsidRDefault="723C9DD8"/>
    <w:p w14:paraId="581902FE" w14:textId="42E6FDD5" w:rsidR="723C9DD8" w:rsidRDefault="723C9DD8"/>
    <w:tbl>
      <w:tblPr>
        <w:tblW w:w="0" w:type="auto"/>
        <w:tblLook w:val="04A0" w:firstRow="1" w:lastRow="0" w:firstColumn="1" w:lastColumn="0" w:noHBand="0" w:noVBand="1"/>
      </w:tblPr>
      <w:tblGrid>
        <w:gridCol w:w="2698"/>
        <w:gridCol w:w="6354"/>
      </w:tblGrid>
      <w:tr w:rsidR="74E64318" w14:paraId="703305FF"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788936D6" w14:textId="50232313" w:rsidR="74E64318" w:rsidRDefault="33D10D42"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rPr>
              <w:t>Referenca</w:t>
            </w:r>
            <w:r w:rsidR="5A8A48C7"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04E72BFB" w14:textId="737BCFDB" w:rsidR="74E64318" w:rsidRDefault="55FF857C" w:rsidP="0752BA49">
            <w:pPr>
              <w:spacing w:after="0"/>
              <w:rPr>
                <w:rFonts w:ascii="Calibri" w:eastAsia="Calibri" w:hAnsi="Calibri" w:cs="Calibri"/>
                <w:color w:val="000000" w:themeColor="text1"/>
                <w:sz w:val="18"/>
                <w:szCs w:val="18"/>
              </w:rPr>
            </w:pPr>
            <w:r w:rsidRPr="0752BA49">
              <w:rPr>
                <w:rFonts w:ascii="Calibri" w:eastAsia="Calibri" w:hAnsi="Calibri" w:cs="Calibri"/>
                <w:color w:val="000000" w:themeColor="text1"/>
                <w:sz w:val="18"/>
                <w:szCs w:val="18"/>
                <w:lang w:val="pt-BR"/>
              </w:rPr>
              <w:t>Campos, L., Dias, P., Palha, F., Duarte, A., Veiga, E. (2016). Development and psycho-</w:t>
            </w:r>
            <w:r w:rsidRPr="0752BA49">
              <w:rPr>
                <w:rFonts w:ascii="Calibri" w:eastAsia="Calibri" w:hAnsi="Calibri" w:cs="Calibri"/>
                <w:color w:val="000000" w:themeColor="text1"/>
                <w:sz w:val="18"/>
                <w:szCs w:val="18"/>
              </w:rPr>
              <w:t xml:space="preserve">metric properties of a new questionnaire for assessing </w:t>
            </w:r>
          </w:p>
          <w:p w14:paraId="288B18E8" w14:textId="2EA5AEC6" w:rsidR="74E64318" w:rsidRDefault="55FF857C" w:rsidP="0752BA49">
            <w:pPr>
              <w:spacing w:after="0"/>
              <w:rPr>
                <w:rFonts w:ascii="Calibri" w:eastAsia="Calibri" w:hAnsi="Calibri" w:cs="Calibri"/>
                <w:color w:val="000000" w:themeColor="text1"/>
                <w:sz w:val="18"/>
                <w:szCs w:val="18"/>
              </w:rPr>
            </w:pPr>
            <w:r w:rsidRPr="0752BA49">
              <w:rPr>
                <w:rFonts w:ascii="Calibri" w:eastAsia="Calibri" w:hAnsi="Calibri" w:cs="Calibri"/>
                <w:color w:val="000000" w:themeColor="text1"/>
                <w:sz w:val="18"/>
                <w:szCs w:val="18"/>
              </w:rPr>
              <w:t xml:space="preserve">Mental Health Literacy in young people. Universitas </w:t>
            </w:r>
            <w:r w:rsidRPr="0752BA49">
              <w:rPr>
                <w:rFonts w:ascii="Calibri" w:eastAsia="Calibri" w:hAnsi="Calibri" w:cs="Calibri"/>
                <w:color w:val="000000" w:themeColor="text1"/>
                <w:sz w:val="18"/>
                <w:szCs w:val="18"/>
                <w:lang w:val="en-US"/>
              </w:rPr>
              <w:t xml:space="preserve">Psychologica, 15(2), 61-72. </w:t>
            </w:r>
            <w:r w:rsidRPr="0752BA49">
              <w:rPr>
                <w:rFonts w:ascii="Calibri" w:eastAsia="Calibri" w:hAnsi="Calibri" w:cs="Calibri"/>
                <w:sz w:val="18"/>
                <w:szCs w:val="18"/>
                <w:lang w:val="en-US"/>
              </w:rPr>
              <w:t>http://dx.doi.org/10.111</w:t>
            </w:r>
            <w:r w:rsidRPr="0752BA49">
              <w:rPr>
                <w:rFonts w:ascii="Calibri" w:eastAsia="Calibri" w:hAnsi="Calibri" w:cs="Calibri"/>
                <w:color w:val="000000" w:themeColor="text1"/>
                <w:sz w:val="18"/>
                <w:szCs w:val="18"/>
              </w:rPr>
              <w:t>44/Javeriana.upsy15-2.dppq</w:t>
            </w:r>
          </w:p>
        </w:tc>
      </w:tr>
      <w:tr w:rsidR="74E64318" w14:paraId="4B1F9010"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5189A6ED" w14:textId="7D545016"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lang w:val="en-GB"/>
              </w:rPr>
              <w:t>Link</w:t>
            </w: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122B3966" w14:textId="064D1203"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doi: 10.11144/Javeriana.upsy15-2.dppq</w:t>
            </w:r>
          </w:p>
        </w:tc>
      </w:tr>
      <w:tr w:rsidR="74E64318" w14:paraId="6B8BF6A1"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5A2D3E65" w14:textId="14622417" w:rsidR="74E64318" w:rsidRDefault="5A8A48C7" w:rsidP="0752BA49">
            <w:pPr>
              <w:spacing w:after="0"/>
              <w:rPr>
                <w:rFonts w:ascii="Calibri" w:eastAsia="Calibri" w:hAnsi="Calibri" w:cs="Calibri"/>
                <w:b/>
                <w:bCs/>
                <w:color w:val="000000" w:themeColor="text1"/>
                <w:sz w:val="18"/>
                <w:szCs w:val="18"/>
                <w:lang w:val="en-GB"/>
              </w:rPr>
            </w:pPr>
            <w:r w:rsidRPr="0752BA49">
              <w:rPr>
                <w:rFonts w:ascii="Calibri" w:eastAsia="Calibri" w:hAnsi="Calibri" w:cs="Calibri"/>
                <w:b/>
                <w:bCs/>
                <w:color w:val="000000" w:themeColor="text1"/>
                <w:sz w:val="18"/>
                <w:szCs w:val="18"/>
                <w:lang w:val="en-GB"/>
              </w:rPr>
              <w:t>Područje-tema</w:t>
            </w:r>
          </w:p>
        </w:tc>
        <w:tc>
          <w:tcPr>
            <w:tcW w:w="6360" w:type="dxa"/>
            <w:tcBorders>
              <w:top w:val="single" w:sz="8" w:space="0" w:color="auto"/>
              <w:left w:val="single" w:sz="8" w:space="0" w:color="auto"/>
              <w:bottom w:val="single" w:sz="8" w:space="0" w:color="auto"/>
              <w:right w:val="single" w:sz="8" w:space="0" w:color="auto"/>
            </w:tcBorders>
          </w:tcPr>
          <w:p w14:paraId="11A2B3E0" w14:textId="06686109"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mentalno zdravstvena pismenost</w:t>
            </w:r>
          </w:p>
        </w:tc>
      </w:tr>
      <w:tr w:rsidR="74E64318" w14:paraId="2503CB0B"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444C7399" w14:textId="4B16E672" w:rsidR="74E64318" w:rsidRDefault="5A8A48C7" w:rsidP="0752BA49">
            <w:pPr>
              <w:spacing w:after="0"/>
              <w:rPr>
                <w:rFonts w:ascii="Calibri" w:eastAsia="Calibri" w:hAnsi="Calibri" w:cs="Calibri"/>
                <w:b/>
                <w:bCs/>
                <w:color w:val="000000" w:themeColor="text1"/>
                <w:sz w:val="18"/>
                <w:szCs w:val="18"/>
                <w:lang w:val="en-GB"/>
              </w:rPr>
            </w:pPr>
            <w:r w:rsidRPr="0752BA49">
              <w:rPr>
                <w:rFonts w:ascii="Calibri" w:eastAsia="Calibri" w:hAnsi="Calibri" w:cs="Calibri"/>
                <w:b/>
                <w:bCs/>
                <w:color w:val="000000" w:themeColor="text1"/>
                <w:sz w:val="18"/>
                <w:szCs w:val="18"/>
                <w:lang w:val="en-GB"/>
              </w:rPr>
              <w:t>Pripremila/pripremio</w:t>
            </w:r>
          </w:p>
        </w:tc>
        <w:tc>
          <w:tcPr>
            <w:tcW w:w="6360" w:type="dxa"/>
            <w:tcBorders>
              <w:top w:val="single" w:sz="8" w:space="0" w:color="auto"/>
              <w:left w:val="single" w:sz="8" w:space="0" w:color="auto"/>
              <w:bottom w:val="single" w:sz="8" w:space="0" w:color="auto"/>
              <w:right w:val="single" w:sz="8" w:space="0" w:color="auto"/>
            </w:tcBorders>
          </w:tcPr>
          <w:p w14:paraId="456FC8C6" w14:textId="7717F493"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Renata Barić</w:t>
            </w:r>
          </w:p>
        </w:tc>
      </w:tr>
      <w:tr w:rsidR="74E64318" w14:paraId="783D196D"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4E0FB792" w14:textId="22A93EC9"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lang w:val="en-GB"/>
              </w:rPr>
              <w:t>Categorisation</w:t>
            </w:r>
            <w:r w:rsidRPr="0752BA49">
              <w:rPr>
                <w:rFonts w:ascii="Calibri" w:eastAsia="Calibri" w:hAnsi="Calibri" w:cs="Calibri"/>
                <w:b/>
                <w:bCs/>
                <w:color w:val="000000" w:themeColor="text1"/>
                <w:sz w:val="18"/>
                <w:szCs w:val="18"/>
              </w:rPr>
              <w:t xml:space="preserve"> </w:t>
            </w:r>
          </w:p>
          <w:p w14:paraId="4FBF745A" w14:textId="12B21D13" w:rsidR="74E64318" w:rsidRDefault="5A8A48C7" w:rsidP="0752BA49">
            <w:pPr>
              <w:spacing w:after="0"/>
              <w:rPr>
                <w:rFonts w:ascii="Calibri" w:eastAsia="Calibri" w:hAnsi="Calibri" w:cs="Calibri"/>
                <w:color w:val="000000" w:themeColor="text1"/>
                <w:sz w:val="18"/>
                <w:szCs w:val="18"/>
                <w:lang w:val="en-GB"/>
              </w:rPr>
            </w:pPr>
            <w:r w:rsidRPr="0752BA49">
              <w:rPr>
                <w:rFonts w:ascii="Calibri" w:eastAsia="Calibri" w:hAnsi="Calibri" w:cs="Calibri"/>
                <w:color w:val="000000" w:themeColor="text1"/>
                <w:sz w:val="18"/>
                <w:szCs w:val="18"/>
                <w:lang w:val="en-GB"/>
              </w:rPr>
              <w:t>1 – esencijalan</w:t>
            </w:r>
          </w:p>
          <w:p w14:paraId="1C941146" w14:textId="1A30638B" w:rsidR="74E64318" w:rsidRDefault="5A8A48C7" w:rsidP="0752BA49">
            <w:pPr>
              <w:spacing w:after="0"/>
              <w:rPr>
                <w:rFonts w:ascii="Calibri" w:eastAsia="Calibri" w:hAnsi="Calibri" w:cs="Calibri"/>
                <w:color w:val="000000" w:themeColor="text1"/>
                <w:sz w:val="18"/>
                <w:szCs w:val="18"/>
                <w:lang w:val="en-GB"/>
              </w:rPr>
            </w:pPr>
            <w:r w:rsidRPr="0752BA49">
              <w:rPr>
                <w:rFonts w:ascii="Calibri" w:eastAsia="Calibri" w:hAnsi="Calibri" w:cs="Calibri"/>
                <w:color w:val="000000" w:themeColor="text1"/>
                <w:sz w:val="18"/>
                <w:szCs w:val="18"/>
                <w:lang w:val="en-GB"/>
              </w:rPr>
              <w:t>2 – koristan</w:t>
            </w:r>
          </w:p>
          <w:p w14:paraId="4F754F86" w14:textId="106CFB80" w:rsidR="74E64318" w:rsidRDefault="5A8A48C7" w:rsidP="0752BA49">
            <w:pPr>
              <w:spacing w:after="0"/>
              <w:rPr>
                <w:rFonts w:ascii="Calibri" w:eastAsia="Calibri" w:hAnsi="Calibri" w:cs="Calibri"/>
                <w:color w:val="000000" w:themeColor="text1"/>
                <w:sz w:val="18"/>
                <w:szCs w:val="18"/>
                <w:lang w:val="en-GB"/>
              </w:rPr>
            </w:pPr>
            <w:r w:rsidRPr="0752BA49">
              <w:rPr>
                <w:rFonts w:ascii="Calibri" w:eastAsia="Calibri" w:hAnsi="Calibri" w:cs="Calibri"/>
                <w:color w:val="000000" w:themeColor="text1"/>
                <w:sz w:val="18"/>
                <w:szCs w:val="18"/>
                <w:lang w:val="en-GB"/>
              </w:rPr>
              <w:t>3 – potencijalno koristan</w:t>
            </w:r>
          </w:p>
          <w:p w14:paraId="55C616CE" w14:textId="04A3F588"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color w:val="000000" w:themeColor="text1"/>
                <w:sz w:val="18"/>
                <w:szCs w:val="18"/>
                <w:lang w:val="en-GB"/>
              </w:rPr>
              <w:t>4 – ima zanimljiv dio</w:t>
            </w: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74BA4569" w14:textId="3086BAB3" w:rsidR="74E64318" w:rsidRDefault="5A8A48C7" w:rsidP="0752BA49">
            <w:pPr>
              <w:spacing w:after="0"/>
              <w:rPr>
                <w:rFonts w:ascii="Calibri" w:eastAsia="Calibri" w:hAnsi="Calibri" w:cs="Calibri"/>
                <w:b/>
                <w:bCs/>
                <w:color w:val="4472C4" w:themeColor="accent1"/>
                <w:sz w:val="18"/>
                <w:szCs w:val="18"/>
              </w:rPr>
            </w:pPr>
            <w:r w:rsidRPr="0752BA49">
              <w:rPr>
                <w:rFonts w:ascii="Calibri" w:eastAsia="Calibri" w:hAnsi="Calibri" w:cs="Calibri"/>
                <w:b/>
                <w:bCs/>
                <w:color w:val="4472C4" w:themeColor="accent1"/>
                <w:sz w:val="18"/>
                <w:szCs w:val="18"/>
              </w:rPr>
              <w:t xml:space="preserve"> </w:t>
            </w:r>
          </w:p>
          <w:p w14:paraId="51157F80" w14:textId="1D648D92" w:rsidR="74E64318" w:rsidRDefault="5A8A48C7" w:rsidP="0752BA49">
            <w:pPr>
              <w:spacing w:after="0"/>
              <w:rPr>
                <w:rFonts w:ascii="Calibri" w:eastAsia="Calibri" w:hAnsi="Calibri" w:cs="Calibri"/>
                <w:b/>
                <w:bCs/>
                <w:color w:val="4472C4" w:themeColor="accent1"/>
                <w:sz w:val="18"/>
                <w:szCs w:val="18"/>
              </w:rPr>
            </w:pPr>
            <w:r w:rsidRPr="0752BA49">
              <w:rPr>
                <w:rFonts w:ascii="Calibri" w:eastAsia="Calibri" w:hAnsi="Calibri" w:cs="Calibri"/>
                <w:b/>
                <w:bCs/>
                <w:color w:val="4472C4" w:themeColor="accent1"/>
                <w:sz w:val="18"/>
                <w:szCs w:val="18"/>
              </w:rPr>
              <w:t xml:space="preserve">    1</w:t>
            </w:r>
          </w:p>
        </w:tc>
      </w:tr>
      <w:tr w:rsidR="74E64318" w14:paraId="6EB29867"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43C34C75" w14:textId="0A71C067" w:rsidR="74E64318" w:rsidRDefault="5A8A48C7" w:rsidP="0752BA49">
            <w:pPr>
              <w:spacing w:after="0"/>
              <w:rPr>
                <w:rFonts w:ascii="Calibri" w:eastAsia="Calibri" w:hAnsi="Calibri" w:cs="Calibri"/>
                <w:b/>
                <w:bCs/>
                <w:sz w:val="18"/>
                <w:szCs w:val="18"/>
              </w:rPr>
            </w:pPr>
            <w:r w:rsidRPr="0752BA49">
              <w:rPr>
                <w:rFonts w:ascii="Calibri" w:eastAsia="Calibri" w:hAnsi="Calibri" w:cs="Calibri"/>
                <w:b/>
                <w:bCs/>
                <w:sz w:val="18"/>
                <w:szCs w:val="18"/>
              </w:rPr>
              <w:t>Sažetak (kopija)</w:t>
            </w:r>
          </w:p>
          <w:p w14:paraId="648A708A" w14:textId="40A890FE"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0E2639FB" w14:textId="1FF535FC"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w:t>
            </w:r>
            <w:r w:rsidRPr="0752BA49">
              <w:rPr>
                <w:rFonts w:ascii="Calibri" w:eastAsia="Calibri" w:hAnsi="Calibri" w:cs="Calibri"/>
                <w:i/>
                <w:iCs/>
                <w:sz w:val="18"/>
                <w:szCs w:val="18"/>
              </w:rPr>
              <w:t>Objectives</w:t>
            </w:r>
            <w:r w:rsidRPr="0752BA49">
              <w:rPr>
                <w:rFonts w:ascii="Calibri" w:eastAsia="Calibri" w:hAnsi="Calibri" w:cs="Calibri"/>
                <w:sz w:val="18"/>
                <w:szCs w:val="18"/>
              </w:rPr>
              <w:t xml:space="preserve">: Several instruments assess constructs related to mental health lite[1]racy and to the stigma associated with mental health problems. However, most of them have conceptualisations that may limit the assessment of the mental health literacy concept in a more up-to-date and comprehensive perspective. Furthermore, some of the instruments’ structure may limit their use in large scale samples, in a short period of time and with repeated measures. This article presents the development of the Mental Health Literacy questionnaire (MHLq) and the studies to assess its psychometric properties. </w:t>
            </w:r>
            <w:r w:rsidRPr="0752BA49">
              <w:rPr>
                <w:rFonts w:ascii="Calibri" w:eastAsia="Calibri" w:hAnsi="Calibri" w:cs="Calibri"/>
                <w:i/>
                <w:iCs/>
                <w:sz w:val="18"/>
                <w:szCs w:val="18"/>
              </w:rPr>
              <w:t>Methods</w:t>
            </w:r>
            <w:r w:rsidRPr="0752BA49">
              <w:rPr>
                <w:rFonts w:ascii="Calibri" w:eastAsia="Calibri" w:hAnsi="Calibri" w:cs="Calibri"/>
                <w:sz w:val="18"/>
                <w:szCs w:val="18"/>
              </w:rPr>
              <w:t xml:space="preserve">: After item-pool generation, content validity was assessed by experts and a think aloud proce[1]dure. The MHLq was tested in two samples of students (study 1 n=239; aged between 12 and 15 years old; study 2 n=737; aged between 11 and 17 years old) to determine its psychometric properties. </w:t>
            </w:r>
            <w:r w:rsidRPr="0752BA49">
              <w:rPr>
                <w:rFonts w:ascii="Calibri" w:eastAsia="Calibri" w:hAnsi="Calibri" w:cs="Calibri"/>
                <w:i/>
                <w:iCs/>
                <w:sz w:val="18"/>
                <w:szCs w:val="18"/>
              </w:rPr>
              <w:t>Results</w:t>
            </w:r>
            <w:r w:rsidRPr="0752BA49">
              <w:rPr>
                <w:rFonts w:ascii="Calibri" w:eastAsia="Calibri" w:hAnsi="Calibri" w:cs="Calibri"/>
                <w:sz w:val="18"/>
                <w:szCs w:val="18"/>
              </w:rPr>
              <w:t xml:space="preserve">: Factor analysis procedures </w:t>
            </w:r>
            <w:r w:rsidRPr="0752BA49">
              <w:rPr>
                <w:rFonts w:ascii="Calibri" w:eastAsia="Calibri" w:hAnsi="Calibri" w:cs="Calibri"/>
                <w:sz w:val="18"/>
                <w:szCs w:val="18"/>
              </w:rPr>
              <w:lastRenderedPageBreak/>
              <w:t>fa[1]voured a three-factor solution (with 33 items) of the MHLq. The questionnaire showed good internal consistency (total score α=0.84; Factor 1 first aid skills and help seeking - α=0.79; Factor 2 knowledge/stereotypes - α=0.78; Factor 3 self-help strategies - α=0.72); and excellent test-retest reliability, the ICC for the total score of MHLq was 0.88 and for the three dimensions of MHLq was 0.80 (Factor 1), 0.90 (Factor 2) and 0.86 (Factor 3). Conclusions: The MHLq is a practical, valid and reliable tool for identifying gaps in knowledge, beliefs and behavioural intentions, in large samples, allowing the development and evaluation of interventions aimed at promoting mental health in young people.</w:t>
            </w:r>
          </w:p>
        </w:tc>
      </w:tr>
      <w:tr w:rsidR="74E64318" w14:paraId="7DAE8BD6"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3811A206" w14:textId="6567B780" w:rsidR="74E64318" w:rsidRDefault="5A8A48C7" w:rsidP="0752BA49">
            <w:pPr>
              <w:spacing w:after="0"/>
              <w:rPr>
                <w:rFonts w:ascii="Calibri" w:eastAsia="Calibri" w:hAnsi="Calibri" w:cs="Calibri"/>
                <w:b/>
                <w:bCs/>
                <w:color w:val="000000" w:themeColor="text1"/>
                <w:sz w:val="18"/>
                <w:szCs w:val="18"/>
                <w:lang w:val="en-GB"/>
              </w:rPr>
            </w:pPr>
            <w:r w:rsidRPr="0752BA49">
              <w:rPr>
                <w:rFonts w:ascii="Calibri" w:eastAsia="Calibri" w:hAnsi="Calibri" w:cs="Calibri"/>
                <w:b/>
                <w:bCs/>
                <w:color w:val="000000" w:themeColor="text1"/>
                <w:sz w:val="18"/>
                <w:szCs w:val="18"/>
                <w:lang w:val="en-GB"/>
              </w:rPr>
              <w:lastRenderedPageBreak/>
              <w:t>Ključne riječi</w:t>
            </w:r>
          </w:p>
        </w:tc>
        <w:tc>
          <w:tcPr>
            <w:tcW w:w="6360" w:type="dxa"/>
            <w:tcBorders>
              <w:top w:val="single" w:sz="8" w:space="0" w:color="auto"/>
              <w:left w:val="single" w:sz="8" w:space="0" w:color="auto"/>
              <w:bottom w:val="single" w:sz="8" w:space="0" w:color="auto"/>
              <w:right w:val="single" w:sz="8" w:space="0" w:color="auto"/>
            </w:tcBorders>
          </w:tcPr>
          <w:p w14:paraId="32072ACA" w14:textId="616634BD"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upitnik, psihometrijske karakteristike, mentalno zdravstvena pismenost, mladi</w:t>
            </w:r>
          </w:p>
        </w:tc>
      </w:tr>
      <w:tr w:rsidR="74E64318" w14:paraId="39D3E656"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2D91EADD" w14:textId="6CB9C561" w:rsidR="74E64318" w:rsidRDefault="5A8A48C7" w:rsidP="0752BA49">
            <w:pPr>
              <w:spacing w:after="0"/>
              <w:rPr>
                <w:rFonts w:ascii="Calibri" w:eastAsia="Calibri" w:hAnsi="Calibri" w:cs="Calibri"/>
                <w:b/>
                <w:bCs/>
                <w:sz w:val="18"/>
                <w:szCs w:val="18"/>
              </w:rPr>
            </w:pPr>
            <w:r w:rsidRPr="0752BA49">
              <w:rPr>
                <w:rFonts w:ascii="Calibri" w:eastAsia="Calibri" w:hAnsi="Calibri" w:cs="Calibri"/>
                <w:b/>
                <w:bCs/>
                <w:sz w:val="18"/>
                <w:szCs w:val="18"/>
              </w:rPr>
              <w:t>Kratki opis</w:t>
            </w:r>
          </w:p>
        </w:tc>
        <w:tc>
          <w:tcPr>
            <w:tcW w:w="6360" w:type="dxa"/>
            <w:tcBorders>
              <w:top w:val="single" w:sz="8" w:space="0" w:color="auto"/>
              <w:left w:val="single" w:sz="8" w:space="0" w:color="auto"/>
              <w:bottom w:val="single" w:sz="8" w:space="0" w:color="auto"/>
              <w:right w:val="single" w:sz="8" w:space="0" w:color="auto"/>
            </w:tcBorders>
          </w:tcPr>
          <w:p w14:paraId="794A2845" w14:textId="27EB4317"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Rad prikazuje proces razvoja i validacije MHLq upitnika za mlade i njegova psihometrijska svojstva. Autori navode postojeće mjerne instrumente za procjenu mentalne pismenosti i nedostatak dosadašnjih mjerenja, što ih motivira da naprave novi upitnik. Provedena su 2 istraživanja, prvo na 239 12-15 g. stare portugalske  djece, a drugo na 737 portugalskih učenika u dobi od 11-17 g.Konstruktna valjanost provjerena je faktorskom analizom te su izračunati Cronbach alpha koeficijenti pouzdanosti. Raspravljene su razlike u MZP s obzirom na dob i spol i bliskost s nekim tko ima poteškoće MZ, što je ispitano u studiji 2. Autori su htjeli premostiti nedostatak vinjeta )opisa poteškoća MZ) i kreirati upitnik kako bi MZP mogli pouzdanije procjenjivati i kako bi to bilo pristupačnije djeci.</w:t>
            </w:r>
          </w:p>
        </w:tc>
      </w:tr>
      <w:tr w:rsidR="74E64318" w14:paraId="6385C250"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4C82E639" w14:textId="4928EA3A" w:rsidR="74E64318" w:rsidRDefault="5A8A48C7" w:rsidP="0752BA49">
            <w:pPr>
              <w:spacing w:after="0"/>
              <w:rPr>
                <w:rFonts w:ascii="Calibri" w:eastAsia="Calibri" w:hAnsi="Calibri" w:cs="Calibri"/>
                <w:b/>
                <w:bCs/>
                <w:color w:val="000000" w:themeColor="text1"/>
                <w:sz w:val="18"/>
                <w:szCs w:val="18"/>
                <w:lang w:val="en-GB"/>
              </w:rPr>
            </w:pPr>
            <w:r w:rsidRPr="0752BA49">
              <w:rPr>
                <w:rFonts w:ascii="Calibri" w:eastAsia="Calibri" w:hAnsi="Calibri" w:cs="Calibri"/>
                <w:b/>
                <w:bCs/>
                <w:color w:val="000000" w:themeColor="text1"/>
                <w:sz w:val="18"/>
                <w:szCs w:val="18"/>
                <w:lang w:val="en-GB"/>
              </w:rPr>
              <w:t>Ključni nalazi</w:t>
            </w:r>
          </w:p>
          <w:p w14:paraId="27A4B6B9" w14:textId="4E04944E"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52A7535C" w14:textId="7BEEAE40"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FA je dobivena trofaktorska struktura – f1 vještine prve pomoći i spremnost da se traži pomoć, f2 znanja i stereotipi, f3 strategije samopomoći. S inicijalnih 48 uklonjeno je 7 pitanja te su dobiveni dobri koeficijenti pouzdanosti .71, .71, .78. U sljedećem koraku je zbog manjih zasićenja od 0.20 maknuto još 8 pitanja i verzija od 33 pitanja primijenjena je u drugoj studiji. Dobivena su ista 3 faktora s nešto višim koeficijentima pouzdanosti. Provjerena je i vremenska stabilnost procjena koja se pokazala dobrom. Učenici 14 i-17 g. pokazali su više rezultate na ukupnom MHLq rezultatu, u području znanja/stereotipa i strategija samopomoći u usporedbi s mlađima. Mlađi  (11–13 godina) ostvarili su više rezultate od starijih u vještinama pružanja prve pomoći i ponašanju traženja pomoći. Dob se pokazala značajnom varijablom inače pa i u ovom istraživanju za MZP. Djevojke imaju više rezultate na ukupnom MHLq rezultatu te u vještinama pružanja prve pomoći i ponašanju traženja pomoći u usporedbi s dječacima. Učenici koji su naveli da poznaju neku osobu s problemima mentalnog zdravlja ostvarili su više rezultate na ukupnom MHLq rezultatu te u području znanja/stereotipa u usporedbi s učenicima koji ne poznaju nikoga s problemima mentalnog zdravlja. MHLq može se smatrati pouzdanim i valjanim instrumentom za procjenu MZP mladih.</w:t>
            </w:r>
          </w:p>
        </w:tc>
      </w:tr>
      <w:tr w:rsidR="74E64318" w14:paraId="276576AC"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2129CE73" w14:textId="23E54523"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lang w:val="en-GB"/>
              </w:rPr>
              <w:t>Kako može koristiti na MentiFit projektu?</w:t>
            </w:r>
            <w:r w:rsidRPr="0752BA49">
              <w:rPr>
                <w:rFonts w:ascii="Calibri" w:eastAsia="Calibri" w:hAnsi="Calibri" w:cs="Calibri"/>
                <w:b/>
                <w:bCs/>
                <w:color w:val="000000" w:themeColor="text1"/>
                <w:sz w:val="18"/>
                <w:szCs w:val="18"/>
              </w:rPr>
              <w:t xml:space="preserve"> </w:t>
            </w:r>
          </w:p>
          <w:p w14:paraId="3D7DF3AE" w14:textId="20FDC0BF"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7CC4CD02" w14:textId="6FCD37D5"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Rad donosi informacije o upitniku kojeg ćemo koristiti u projektu i kojeg trebamo prevesti i prilagoditi za upotrebu na hrvatskom, pa ove informacije mogu pomoći u procesu. </w:t>
            </w:r>
          </w:p>
        </w:tc>
      </w:tr>
      <w:tr w:rsidR="74E64318" w14:paraId="5B043F8E" w14:textId="77777777" w:rsidTr="0752BA49">
        <w:trPr>
          <w:trHeight w:val="300"/>
        </w:trPr>
        <w:tc>
          <w:tcPr>
            <w:tcW w:w="2700" w:type="dxa"/>
            <w:tcBorders>
              <w:top w:val="single" w:sz="8" w:space="0" w:color="auto"/>
              <w:left w:val="single" w:sz="8" w:space="0" w:color="auto"/>
              <w:bottom w:val="single" w:sz="8" w:space="0" w:color="auto"/>
              <w:right w:val="single" w:sz="8" w:space="0" w:color="auto"/>
            </w:tcBorders>
          </w:tcPr>
          <w:p w14:paraId="372F0A8F" w14:textId="38405B94" w:rsidR="74E64318" w:rsidRDefault="5A8A48C7" w:rsidP="0752BA49">
            <w:pPr>
              <w:spacing w:after="0"/>
              <w:rPr>
                <w:rFonts w:ascii="Calibri" w:eastAsia="Calibri" w:hAnsi="Calibri" w:cs="Calibri"/>
                <w:b/>
                <w:bCs/>
                <w:color w:val="000000" w:themeColor="text1"/>
                <w:sz w:val="18"/>
                <w:szCs w:val="18"/>
              </w:rPr>
            </w:pPr>
            <w:r w:rsidRPr="0752BA49">
              <w:rPr>
                <w:rFonts w:ascii="Calibri" w:eastAsia="Calibri" w:hAnsi="Calibri" w:cs="Calibri"/>
                <w:b/>
                <w:bCs/>
                <w:color w:val="000000" w:themeColor="text1"/>
                <w:sz w:val="18"/>
                <w:szCs w:val="18"/>
                <w:lang w:val="en-GB"/>
              </w:rPr>
              <w:t xml:space="preserve">Komentar, pitanje… </w:t>
            </w:r>
            <w:r w:rsidRPr="0752BA49">
              <w:rPr>
                <w:rFonts w:ascii="Calibri" w:eastAsia="Calibri" w:hAnsi="Calibri" w:cs="Calibri"/>
                <w:b/>
                <w:bCs/>
                <w:color w:val="000000" w:themeColor="text1"/>
                <w:sz w:val="18"/>
                <w:szCs w:val="18"/>
              </w:rPr>
              <w:t xml:space="preserve"> </w:t>
            </w:r>
          </w:p>
        </w:tc>
        <w:tc>
          <w:tcPr>
            <w:tcW w:w="6360" w:type="dxa"/>
            <w:tcBorders>
              <w:top w:val="single" w:sz="8" w:space="0" w:color="auto"/>
              <w:left w:val="single" w:sz="8" w:space="0" w:color="auto"/>
              <w:bottom w:val="single" w:sz="8" w:space="0" w:color="auto"/>
              <w:right w:val="single" w:sz="8" w:space="0" w:color="auto"/>
            </w:tcBorders>
          </w:tcPr>
          <w:p w14:paraId="309D441B" w14:textId="7BAC1746"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Imamo dozvolu za korištenje upitnika.</w:t>
            </w:r>
          </w:p>
        </w:tc>
      </w:tr>
    </w:tbl>
    <w:p w14:paraId="0B4A173B" w14:textId="6042D2FC" w:rsidR="723C9DD8" w:rsidRDefault="723C9DD8" w:rsidP="74E64318"/>
    <w:tbl>
      <w:tblPr>
        <w:tblW w:w="0" w:type="auto"/>
        <w:tblLook w:val="04A0" w:firstRow="1" w:lastRow="0" w:firstColumn="1" w:lastColumn="0" w:noHBand="0" w:noVBand="1"/>
      </w:tblPr>
      <w:tblGrid>
        <w:gridCol w:w="2788"/>
        <w:gridCol w:w="6264"/>
      </w:tblGrid>
      <w:tr w:rsidR="74E64318" w14:paraId="431CA6D4" w14:textId="77777777" w:rsidTr="0752BA49">
        <w:trPr>
          <w:trHeight w:val="675"/>
        </w:trPr>
        <w:tc>
          <w:tcPr>
            <w:tcW w:w="2790" w:type="dxa"/>
            <w:tcBorders>
              <w:top w:val="single" w:sz="8" w:space="0" w:color="auto"/>
              <w:left w:val="single" w:sz="8" w:space="0" w:color="auto"/>
              <w:bottom w:val="single" w:sz="8" w:space="0" w:color="auto"/>
              <w:right w:val="single" w:sz="8" w:space="0" w:color="auto"/>
            </w:tcBorders>
          </w:tcPr>
          <w:p w14:paraId="4980D9A0" w14:textId="7672AFAF" w:rsidR="74E64318" w:rsidRDefault="33D10D42"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Referenca</w:t>
            </w:r>
            <w:r w:rsidR="5A8A48C7"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49344775" w14:textId="618F2C66" w:rsidR="74E64318" w:rsidRDefault="642C26E6" w:rsidP="0752BA49">
            <w:pPr>
              <w:spacing w:before="322" w:after="322"/>
              <w:rPr>
                <w:rFonts w:ascii="Calibri" w:eastAsia="Calibri" w:hAnsi="Calibri" w:cs="Arial"/>
                <w:sz w:val="18"/>
                <w:szCs w:val="18"/>
                <w:lang w:val="en-US"/>
              </w:rPr>
            </w:pPr>
            <w:r w:rsidRPr="0752BA49">
              <w:rPr>
                <w:rFonts w:ascii="Calibri" w:eastAsia="Calibri" w:hAnsi="Calibri" w:cs="Arial"/>
                <w:sz w:val="18"/>
                <w:szCs w:val="18"/>
                <w:lang w:val="en-US"/>
              </w:rPr>
              <w:t xml:space="preserve">Wei, Y., Hayden, J. A., Kutcher, S., Zygmunt, A., &amp; McGrath, P. (2013). The effectiveness of school mental health literacy programs to address knowledge, attitudes and help seeking among youth. </w:t>
            </w:r>
            <w:r w:rsidRPr="0752BA49">
              <w:rPr>
                <w:rFonts w:ascii="Calibri" w:eastAsia="Calibri" w:hAnsi="Calibri" w:cs="Arial"/>
                <w:i/>
                <w:iCs/>
                <w:sz w:val="18"/>
                <w:szCs w:val="18"/>
                <w:lang w:val="en-US"/>
              </w:rPr>
              <w:t>Early intervention in psychiatry</w:t>
            </w:r>
            <w:r w:rsidRPr="0752BA49">
              <w:rPr>
                <w:rFonts w:ascii="Calibri" w:eastAsia="Calibri" w:hAnsi="Calibri" w:cs="Arial"/>
                <w:sz w:val="18"/>
                <w:szCs w:val="18"/>
                <w:lang w:val="en-US"/>
              </w:rPr>
              <w:t xml:space="preserve">, </w:t>
            </w:r>
            <w:r w:rsidRPr="0752BA49">
              <w:rPr>
                <w:rFonts w:ascii="Calibri" w:eastAsia="Calibri" w:hAnsi="Calibri" w:cs="Arial"/>
                <w:i/>
                <w:iCs/>
                <w:sz w:val="18"/>
                <w:szCs w:val="18"/>
                <w:lang w:val="en-US"/>
              </w:rPr>
              <w:t>7</w:t>
            </w:r>
            <w:r w:rsidRPr="0752BA49">
              <w:rPr>
                <w:rFonts w:ascii="Calibri" w:eastAsia="Calibri" w:hAnsi="Calibri" w:cs="Arial"/>
                <w:sz w:val="18"/>
                <w:szCs w:val="18"/>
                <w:lang w:val="en-US"/>
              </w:rPr>
              <w:t>(2), 109–121. https://doi.org/10.1111/eip.12010</w:t>
            </w:r>
          </w:p>
        </w:tc>
      </w:tr>
      <w:tr w:rsidR="74E64318" w14:paraId="3CBC9919"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46405589" w14:textId="08F5247E"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Link</w:t>
            </w: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582302F7" w14:textId="3911577E" w:rsidR="74E64318" w:rsidRDefault="5A8A48C7" w:rsidP="0752BA49">
            <w:pPr>
              <w:shd w:val="clear" w:color="auto" w:fill="FFFFFF" w:themeFill="background1"/>
              <w:spacing w:line="257" w:lineRule="auto"/>
              <w:rPr>
                <w:rFonts w:eastAsiaTheme="minorEastAsia"/>
                <w:sz w:val="18"/>
                <w:szCs w:val="18"/>
              </w:rPr>
            </w:pPr>
            <w:r w:rsidRPr="0752BA49">
              <w:rPr>
                <w:rFonts w:eastAsiaTheme="minorEastAsia"/>
                <w:color w:val="000000" w:themeColor="text1"/>
                <w:sz w:val="18"/>
                <w:szCs w:val="18"/>
              </w:rPr>
              <w:t xml:space="preserve">   </w:t>
            </w:r>
            <w:r w:rsidRPr="0752BA49">
              <w:rPr>
                <w:rFonts w:eastAsiaTheme="minorEastAsia"/>
                <w:color w:val="212121"/>
                <w:sz w:val="18"/>
                <w:szCs w:val="18"/>
              </w:rPr>
              <w:t xml:space="preserve"> DOI: </w:t>
            </w:r>
            <w:hyperlink r:id="rId10">
              <w:r w:rsidRPr="0752BA49">
                <w:rPr>
                  <w:rStyle w:val="Hiperveza"/>
                  <w:rFonts w:eastAsiaTheme="minorEastAsia"/>
                  <w:color w:val="0071BC"/>
                  <w:sz w:val="18"/>
                  <w:szCs w:val="18"/>
                </w:rPr>
                <w:t>10.1111/eip.12010</w:t>
              </w:r>
            </w:hyperlink>
          </w:p>
        </w:tc>
      </w:tr>
      <w:tr w:rsidR="74E64318" w14:paraId="55618055"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5D2A52C7" w14:textId="6E235682"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Područje-tema</w:t>
            </w:r>
          </w:p>
        </w:tc>
        <w:tc>
          <w:tcPr>
            <w:tcW w:w="6270" w:type="dxa"/>
            <w:tcBorders>
              <w:top w:val="single" w:sz="8" w:space="0" w:color="auto"/>
              <w:left w:val="single" w:sz="8" w:space="0" w:color="auto"/>
              <w:bottom w:val="single" w:sz="8" w:space="0" w:color="auto"/>
              <w:right w:val="single" w:sz="8" w:space="0" w:color="auto"/>
            </w:tcBorders>
          </w:tcPr>
          <w:p w14:paraId="7C8362D4" w14:textId="7B1C03EF" w:rsidR="74E64318" w:rsidRDefault="5A8A48C7" w:rsidP="0752BA49">
            <w:pPr>
              <w:spacing w:after="0"/>
              <w:rPr>
                <w:rFonts w:eastAsiaTheme="minorEastAsia"/>
                <w:sz w:val="18"/>
                <w:szCs w:val="18"/>
              </w:rPr>
            </w:pPr>
            <w:r w:rsidRPr="0752BA49">
              <w:rPr>
                <w:rFonts w:eastAsiaTheme="minorEastAsia"/>
                <w:sz w:val="18"/>
                <w:szCs w:val="18"/>
              </w:rPr>
              <w:t xml:space="preserve"> Mentalno zdravstvena pismenost</w:t>
            </w:r>
          </w:p>
        </w:tc>
      </w:tr>
      <w:tr w:rsidR="74E64318" w14:paraId="5A7C9767"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33FDF83A" w14:textId="12921633"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Pripremila/pripremio</w:t>
            </w:r>
          </w:p>
        </w:tc>
        <w:tc>
          <w:tcPr>
            <w:tcW w:w="6270" w:type="dxa"/>
            <w:tcBorders>
              <w:top w:val="single" w:sz="8" w:space="0" w:color="auto"/>
              <w:left w:val="single" w:sz="8" w:space="0" w:color="auto"/>
              <w:bottom w:val="single" w:sz="8" w:space="0" w:color="auto"/>
              <w:right w:val="single" w:sz="8" w:space="0" w:color="auto"/>
            </w:tcBorders>
          </w:tcPr>
          <w:p w14:paraId="147C14A8" w14:textId="479C4974" w:rsidR="74E64318" w:rsidRDefault="5A8A48C7" w:rsidP="0752BA49">
            <w:pPr>
              <w:spacing w:after="0"/>
              <w:rPr>
                <w:rFonts w:eastAsiaTheme="minorEastAsia"/>
                <w:sz w:val="18"/>
                <w:szCs w:val="18"/>
              </w:rPr>
            </w:pPr>
            <w:r w:rsidRPr="0752BA49">
              <w:rPr>
                <w:rFonts w:eastAsiaTheme="minorEastAsia"/>
                <w:sz w:val="18"/>
                <w:szCs w:val="18"/>
              </w:rPr>
              <w:t xml:space="preserve"> Renata Barić</w:t>
            </w:r>
          </w:p>
        </w:tc>
      </w:tr>
      <w:tr w:rsidR="74E64318" w14:paraId="3EFB1264"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6DD4ECA5" w14:textId="54B51F7D"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Categorisation</w:t>
            </w:r>
            <w:r w:rsidRPr="0752BA49">
              <w:rPr>
                <w:rFonts w:eastAsiaTheme="minorEastAsia"/>
                <w:b/>
                <w:bCs/>
                <w:color w:val="000000" w:themeColor="text1"/>
                <w:sz w:val="18"/>
                <w:szCs w:val="18"/>
              </w:rPr>
              <w:t xml:space="preserve"> </w:t>
            </w:r>
          </w:p>
          <w:p w14:paraId="66E3B64E" w14:textId="4C75B45D"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1 – esencijalan</w:t>
            </w:r>
          </w:p>
          <w:p w14:paraId="4B137610" w14:textId="09578912"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2 – koristan</w:t>
            </w:r>
          </w:p>
          <w:p w14:paraId="5442DDFD" w14:textId="1B14C6C7"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lastRenderedPageBreak/>
              <w:t>3 – potencijalno koristan</w:t>
            </w:r>
          </w:p>
          <w:p w14:paraId="07C09163" w14:textId="1F47BE0F" w:rsidR="74E64318" w:rsidRDefault="5A8A48C7" w:rsidP="0752BA49">
            <w:pPr>
              <w:spacing w:after="0"/>
              <w:rPr>
                <w:rFonts w:eastAsiaTheme="minorEastAsia"/>
                <w:b/>
                <w:bCs/>
                <w:color w:val="000000" w:themeColor="text1"/>
                <w:sz w:val="18"/>
                <w:szCs w:val="18"/>
              </w:rPr>
            </w:pPr>
            <w:r w:rsidRPr="0752BA49">
              <w:rPr>
                <w:rFonts w:eastAsiaTheme="minorEastAsia"/>
                <w:color w:val="000000" w:themeColor="text1"/>
                <w:sz w:val="18"/>
                <w:szCs w:val="18"/>
                <w:lang w:val="en-GB"/>
              </w:rPr>
              <w:t>4 – ima zanimljiv dio</w:t>
            </w: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5A2CC580" w14:textId="66E6D7C4" w:rsidR="74E64318" w:rsidRDefault="5A8A48C7" w:rsidP="0752BA49">
            <w:pPr>
              <w:spacing w:after="0"/>
              <w:rPr>
                <w:rFonts w:eastAsiaTheme="minorEastAsia"/>
                <w:b/>
                <w:bCs/>
                <w:color w:val="4472C4" w:themeColor="accent1"/>
                <w:sz w:val="18"/>
                <w:szCs w:val="18"/>
              </w:rPr>
            </w:pPr>
            <w:r w:rsidRPr="0752BA49">
              <w:rPr>
                <w:rFonts w:eastAsiaTheme="minorEastAsia"/>
                <w:b/>
                <w:bCs/>
                <w:color w:val="4472C4" w:themeColor="accent1"/>
                <w:sz w:val="18"/>
                <w:szCs w:val="18"/>
              </w:rPr>
              <w:lastRenderedPageBreak/>
              <w:t xml:space="preserve"> </w:t>
            </w:r>
          </w:p>
          <w:p w14:paraId="06A08829" w14:textId="157314B7" w:rsidR="74E64318" w:rsidRDefault="5A8A48C7" w:rsidP="0752BA49">
            <w:pPr>
              <w:spacing w:after="0"/>
              <w:rPr>
                <w:rFonts w:eastAsiaTheme="minorEastAsia"/>
                <w:b/>
                <w:bCs/>
                <w:color w:val="4472C4" w:themeColor="accent1"/>
                <w:sz w:val="18"/>
                <w:szCs w:val="18"/>
              </w:rPr>
            </w:pPr>
            <w:r w:rsidRPr="0752BA49">
              <w:rPr>
                <w:rFonts w:eastAsiaTheme="minorEastAsia"/>
                <w:b/>
                <w:bCs/>
                <w:color w:val="4472C4" w:themeColor="accent1"/>
                <w:sz w:val="18"/>
                <w:szCs w:val="18"/>
              </w:rPr>
              <w:t xml:space="preserve">  3</w:t>
            </w:r>
          </w:p>
        </w:tc>
      </w:tr>
      <w:tr w:rsidR="74E64318" w14:paraId="7733FF27"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4853A850" w14:textId="2E1DBD19" w:rsidR="74E64318" w:rsidRDefault="5A8A48C7" w:rsidP="0752BA49">
            <w:pPr>
              <w:spacing w:after="0"/>
              <w:rPr>
                <w:rFonts w:eastAsiaTheme="minorEastAsia"/>
                <w:b/>
                <w:bCs/>
                <w:sz w:val="18"/>
                <w:szCs w:val="18"/>
              </w:rPr>
            </w:pPr>
            <w:r w:rsidRPr="0752BA49">
              <w:rPr>
                <w:rFonts w:eastAsiaTheme="minorEastAsia"/>
                <w:b/>
                <w:bCs/>
                <w:sz w:val="18"/>
                <w:szCs w:val="18"/>
              </w:rPr>
              <w:t>Sažetak (kopija)</w:t>
            </w:r>
          </w:p>
          <w:p w14:paraId="4C66D4B8" w14:textId="757FBEA0"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43A3EF5C" w14:textId="632849D5" w:rsidR="74E64318" w:rsidRDefault="5A8A48C7" w:rsidP="0752BA49">
            <w:pPr>
              <w:shd w:val="clear" w:color="auto" w:fill="FFFFFF" w:themeFill="background1"/>
              <w:spacing w:before="240" w:after="240"/>
              <w:rPr>
                <w:rFonts w:eastAsiaTheme="minorEastAsia"/>
                <w:color w:val="212121"/>
                <w:sz w:val="18"/>
                <w:szCs w:val="18"/>
              </w:rPr>
            </w:pPr>
            <w:r w:rsidRPr="0752BA49">
              <w:rPr>
                <w:rFonts w:eastAsiaTheme="minorEastAsia"/>
                <w:b/>
                <w:bCs/>
                <w:color w:val="212121"/>
                <w:sz w:val="18"/>
                <w:szCs w:val="18"/>
              </w:rPr>
              <w:t xml:space="preserve">Aim: </w:t>
            </w:r>
            <w:r w:rsidRPr="0752BA49">
              <w:rPr>
                <w:rFonts w:eastAsiaTheme="minorEastAsia"/>
                <w:color w:val="212121"/>
                <w:sz w:val="18"/>
                <w:szCs w:val="18"/>
              </w:rPr>
              <w:t xml:space="preserve">Conduct a systematic review for the effectiveness of school mental health literacy programs to enhance knowledge, reduce stigmatizing attitudes and improve help-seeking behaviours among youth (12-25yr) </w:t>
            </w:r>
            <w:r w:rsidRPr="0752BA49">
              <w:rPr>
                <w:rFonts w:eastAsiaTheme="minorEastAsia"/>
                <w:b/>
                <w:bCs/>
                <w:color w:val="212121"/>
                <w:sz w:val="18"/>
                <w:szCs w:val="18"/>
              </w:rPr>
              <w:t xml:space="preserve">Methods: </w:t>
            </w:r>
            <w:r w:rsidRPr="0752BA49">
              <w:rPr>
                <w:rFonts w:eastAsiaTheme="minorEastAsia"/>
                <w:color w:val="212121"/>
                <w:sz w:val="18"/>
                <w:szCs w:val="18"/>
              </w:rPr>
              <w:t xml:space="preserve">Reviewers independently searched PubMed, PsycINFO, Cochrane Library, CINAHL, ERIC, grey literature and reference lists of included studies. They reached a consensus on the included studies, and rated the risk of bias of each study. Studies that reported three outcomes: knowledge acquisition, stigmatizing attitudes and help-seeking behaviours; and were randomized controlled trials (RCTs), cluster RCTs, quasi-experimental studies, and controlled-before-and-after studies, were eligible.                           </w:t>
            </w:r>
            <w:r w:rsidR="013292CD" w:rsidRPr="0752BA49">
              <w:rPr>
                <w:rFonts w:eastAsiaTheme="minorEastAsia"/>
                <w:color w:val="212121"/>
                <w:sz w:val="18"/>
                <w:szCs w:val="18"/>
              </w:rPr>
              <w:t xml:space="preserve">       </w:t>
            </w:r>
            <w:r w:rsidR="4E174055" w:rsidRPr="0752BA49">
              <w:rPr>
                <w:rFonts w:eastAsiaTheme="minorEastAsia"/>
                <w:color w:val="212121"/>
                <w:sz w:val="18"/>
                <w:szCs w:val="18"/>
              </w:rPr>
              <w:t xml:space="preserve">                       </w:t>
            </w:r>
            <w:r w:rsidR="013292CD" w:rsidRPr="0752BA49">
              <w:rPr>
                <w:rFonts w:eastAsiaTheme="minorEastAsia"/>
                <w:color w:val="212121"/>
                <w:sz w:val="18"/>
                <w:szCs w:val="18"/>
              </w:rPr>
              <w:t xml:space="preserve"> </w:t>
            </w:r>
            <w:r w:rsidRPr="0752BA49">
              <w:rPr>
                <w:rFonts w:eastAsiaTheme="minorEastAsia"/>
                <w:color w:val="212121"/>
                <w:sz w:val="18"/>
                <w:szCs w:val="18"/>
              </w:rPr>
              <w:t xml:space="preserve">       </w:t>
            </w:r>
            <w:r w:rsidRPr="0752BA49">
              <w:rPr>
                <w:rFonts w:eastAsiaTheme="minorEastAsia"/>
                <w:b/>
                <w:bCs/>
                <w:color w:val="212121"/>
                <w:sz w:val="18"/>
                <w:szCs w:val="18"/>
              </w:rPr>
              <w:t xml:space="preserve">Results: </w:t>
            </w:r>
            <w:r w:rsidRPr="0752BA49">
              <w:rPr>
                <w:rFonts w:eastAsiaTheme="minorEastAsia"/>
                <w:color w:val="212121"/>
                <w:sz w:val="18"/>
                <w:szCs w:val="18"/>
              </w:rPr>
              <w:t>This review resulted in 27 articles including 5 RCTs, 13 quasi- experimental studies, and 9 controlled-before-and-after studies. Whereas most included studies claimed school-based mental health literacy programs improve knowledge, attitudes and help-seeking behaviour, 17 studies met criteria for high risk of bias, 10 studies for moderate risk of bias, and no studies for low risk of bias. Common limitations included the lack of randomization, control for confounding factors, validated measures and report on attrition in most studies. The overall quality</w:t>
            </w:r>
            <w:r w:rsidR="4BDF999C" w:rsidRPr="0752BA49">
              <w:rPr>
                <w:rFonts w:eastAsiaTheme="minorEastAsia"/>
                <w:color w:val="212121"/>
                <w:sz w:val="18"/>
                <w:szCs w:val="18"/>
              </w:rPr>
              <w:t xml:space="preserve">e </w:t>
            </w:r>
            <w:r w:rsidRPr="0752BA49">
              <w:rPr>
                <w:rFonts w:eastAsiaTheme="minorEastAsia"/>
                <w:color w:val="212121"/>
                <w:sz w:val="18"/>
                <w:szCs w:val="18"/>
              </w:rPr>
              <w:t xml:space="preserve"> of the evidence for knowledge and help-seeking behaviour outcomes was very low, and low for the attitudoutcome.                                                                    </w:t>
            </w:r>
            <w:r w:rsidRPr="0752BA49">
              <w:rPr>
                <w:rFonts w:eastAsiaTheme="minorEastAsia"/>
                <w:b/>
                <w:bCs/>
                <w:color w:val="212121"/>
                <w:sz w:val="18"/>
                <w:szCs w:val="18"/>
              </w:rPr>
              <w:t xml:space="preserve">Conclusions: </w:t>
            </w:r>
            <w:r w:rsidRPr="0752BA49">
              <w:rPr>
                <w:rFonts w:eastAsiaTheme="minorEastAsia"/>
                <w:color w:val="212121"/>
                <w:sz w:val="18"/>
                <w:szCs w:val="18"/>
              </w:rPr>
              <w:t>Research into school-based mental health literacy is still in its infancy and there is insufficient evidence to claim for positive impact of school mental health literacy programs on knowledge improvement, attitudinal change or help-seeking behaviour. Future research should focus on methods to appropriately determine the evidence of effectiveness on school-based mental health literacy programs, considering the values of both RCTs and other research designs in this approach. Educators should consider the strengths and weaknesses of current mental health literacy programs to inform decisions regarding possible implementation.</w:t>
            </w:r>
          </w:p>
        </w:tc>
      </w:tr>
      <w:tr w:rsidR="74E64318" w14:paraId="17E253BD"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7794574F" w14:textId="01C1E49B"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Ključne riječi</w:t>
            </w:r>
          </w:p>
        </w:tc>
        <w:tc>
          <w:tcPr>
            <w:tcW w:w="6270" w:type="dxa"/>
            <w:tcBorders>
              <w:top w:val="single" w:sz="8" w:space="0" w:color="auto"/>
              <w:left w:val="single" w:sz="8" w:space="0" w:color="auto"/>
              <w:bottom w:val="single" w:sz="8" w:space="0" w:color="auto"/>
              <w:right w:val="single" w:sz="8" w:space="0" w:color="auto"/>
            </w:tcBorders>
          </w:tcPr>
          <w:p w14:paraId="5378A11E" w14:textId="250DEC12" w:rsidR="74E64318" w:rsidRDefault="5A8A48C7" w:rsidP="0752BA49">
            <w:pPr>
              <w:spacing w:after="0"/>
              <w:rPr>
                <w:rFonts w:eastAsiaTheme="minorEastAsia"/>
                <w:sz w:val="18"/>
                <w:szCs w:val="18"/>
              </w:rPr>
            </w:pPr>
            <w:r w:rsidRPr="0752BA49">
              <w:rPr>
                <w:rFonts w:eastAsiaTheme="minorEastAsia"/>
                <w:sz w:val="18"/>
                <w:szCs w:val="18"/>
              </w:rPr>
              <w:t>Adolescenti,</w:t>
            </w:r>
            <w:r w:rsidR="1A2BE1B3" w:rsidRPr="0752BA49">
              <w:rPr>
                <w:rFonts w:eastAsiaTheme="minorEastAsia"/>
                <w:sz w:val="18"/>
                <w:szCs w:val="18"/>
              </w:rPr>
              <w:t xml:space="preserve"> </w:t>
            </w:r>
            <w:r w:rsidRPr="0752BA49">
              <w:rPr>
                <w:rFonts w:eastAsiaTheme="minorEastAsia"/>
                <w:sz w:val="18"/>
                <w:szCs w:val="18"/>
              </w:rPr>
              <w:t>stavovi prema psihičkim bolestima, traženje pomoći, učinci programa, mentalno zdravstvena pismenost u školi</w:t>
            </w:r>
          </w:p>
        </w:tc>
      </w:tr>
      <w:tr w:rsidR="74E64318" w14:paraId="5615996D"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43A8F17D" w14:textId="34267F5D" w:rsidR="74E64318" w:rsidRDefault="5A8A48C7" w:rsidP="0752BA49">
            <w:pPr>
              <w:spacing w:after="0"/>
              <w:rPr>
                <w:rFonts w:eastAsiaTheme="minorEastAsia"/>
                <w:b/>
                <w:bCs/>
                <w:sz w:val="18"/>
                <w:szCs w:val="18"/>
              </w:rPr>
            </w:pPr>
            <w:r w:rsidRPr="0752BA49">
              <w:rPr>
                <w:rFonts w:eastAsiaTheme="minorEastAsia"/>
                <w:b/>
                <w:bCs/>
                <w:sz w:val="18"/>
                <w:szCs w:val="18"/>
              </w:rPr>
              <w:t>Kratki opis</w:t>
            </w:r>
          </w:p>
        </w:tc>
        <w:tc>
          <w:tcPr>
            <w:tcW w:w="6270" w:type="dxa"/>
            <w:tcBorders>
              <w:top w:val="single" w:sz="8" w:space="0" w:color="auto"/>
              <w:left w:val="single" w:sz="8" w:space="0" w:color="auto"/>
              <w:bottom w:val="single" w:sz="8" w:space="0" w:color="auto"/>
              <w:right w:val="single" w:sz="8" w:space="0" w:color="auto"/>
            </w:tcBorders>
          </w:tcPr>
          <w:p w14:paraId="4F4AB187" w14:textId="2304ED5D" w:rsidR="74E64318" w:rsidRDefault="5A8A48C7" w:rsidP="0752BA49">
            <w:pPr>
              <w:spacing w:after="0"/>
              <w:rPr>
                <w:rFonts w:eastAsiaTheme="minorEastAsia"/>
                <w:sz w:val="18"/>
                <w:szCs w:val="18"/>
              </w:rPr>
            </w:pPr>
            <w:r w:rsidRPr="0752BA49">
              <w:rPr>
                <w:rFonts w:eastAsiaTheme="minorEastAsia"/>
                <w:sz w:val="18"/>
                <w:szCs w:val="18"/>
              </w:rPr>
              <w:t xml:space="preserve"> Pregledni rad  o evaluaciji programa za povećanje MZP na mladima koji su u nekoj edukacijskoj ust</w:t>
            </w:r>
            <w:r w:rsidR="0F449EFE" w:rsidRPr="0752BA49">
              <w:rPr>
                <w:rFonts w:eastAsiaTheme="minorEastAsia"/>
                <w:sz w:val="18"/>
                <w:szCs w:val="18"/>
              </w:rPr>
              <w:t>a</w:t>
            </w:r>
            <w:r w:rsidRPr="0752BA49">
              <w:rPr>
                <w:rFonts w:eastAsiaTheme="minorEastAsia"/>
                <w:sz w:val="18"/>
                <w:szCs w:val="18"/>
              </w:rPr>
              <w:t>novi, uključeni u sustav obrazovanja. Programi MZP  bave se različitim domenama  adresirajući različite koncepte mentalnog zdravlja-biološki, psihološki, socijalni, resursi/strategije za pomoć ili očuvanje MZ i postupci za smanjenje stigmatiziranja mentalnih poteškoća. Interven</w:t>
            </w:r>
            <w:r w:rsidR="67CDEF77" w:rsidRPr="0752BA49">
              <w:rPr>
                <w:rFonts w:eastAsiaTheme="minorEastAsia"/>
                <w:sz w:val="18"/>
                <w:szCs w:val="18"/>
              </w:rPr>
              <w:t>c</w:t>
            </w:r>
            <w:r w:rsidRPr="0752BA49">
              <w:rPr>
                <w:rFonts w:eastAsiaTheme="minorEastAsia"/>
                <w:sz w:val="18"/>
                <w:szCs w:val="18"/>
              </w:rPr>
              <w:t>ije su evaluirane kroz ishode: razina znanja, stavovi prema mentalnim oboljenjima i stigma te ponašanja usmjerena na traženje pomoći. Analizirano je 27 radova s opisima programa, korišteni su različiti oblici intervencija (predavanja, prezentacije, video snimke, rasprave sa stručnjacima, grupne diskusij</w:t>
            </w:r>
            <w:r w:rsidR="49DAB1E9" w:rsidRPr="0752BA49">
              <w:rPr>
                <w:rFonts w:eastAsiaTheme="minorEastAsia"/>
                <w:sz w:val="18"/>
                <w:szCs w:val="18"/>
              </w:rPr>
              <w:t>e</w:t>
            </w:r>
            <w:r w:rsidRPr="0752BA49">
              <w:rPr>
                <w:rFonts w:eastAsiaTheme="minorEastAsia"/>
                <w:sz w:val="18"/>
                <w:szCs w:val="18"/>
              </w:rPr>
              <w:t>, posteri, igranje uloga, predstave igre i ciljano pretraživanje interneta). Intervencije su provođene od strane učitelja, stručnjaka za MZ, osoba koje koriste usluge za poboljšanje MZ i samih učenika, a provođene su u različitom vremenu (jednokratno, višetjedno). Učinci su mjereni odmah nakon provedbe i nekim studijima u različitom broju vremenskih točaka nakon nekog vremena.  (1 do 7 ,mjeseci). Uglavnom su korišteni kvazi eksperimentalni nacrti, a u eksperimentalnima učinak je bio vrednovan kroz usporedbu s grupom bez intervencije ili komparativnom. Učinci zbog metodološke heterogenosti nisu evaluirani meta analizom, već je korištena narativno-deskriptivna metoda.</w:t>
            </w:r>
          </w:p>
        </w:tc>
      </w:tr>
      <w:tr w:rsidR="74E64318" w14:paraId="703C6963"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523EB904" w14:textId="45191190"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Ključni nalazi</w:t>
            </w:r>
          </w:p>
          <w:p w14:paraId="500032DF" w14:textId="1E657A5E"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7327BC2F" w14:textId="612C6116" w:rsidR="74E64318" w:rsidRDefault="5A8A48C7" w:rsidP="0752BA49">
            <w:pPr>
              <w:spacing w:after="0"/>
              <w:rPr>
                <w:rFonts w:eastAsiaTheme="minorEastAsia"/>
                <w:sz w:val="18"/>
                <w:szCs w:val="18"/>
              </w:rPr>
            </w:pPr>
            <w:r w:rsidRPr="0752BA49">
              <w:rPr>
                <w:rFonts w:eastAsiaTheme="minorEastAsia"/>
                <w:sz w:val="18"/>
                <w:szCs w:val="18"/>
              </w:rPr>
              <w:t xml:space="preserve"> Većina studija pokazale je statistički značajno poboljšanje znanja o MZ nakon interve</w:t>
            </w:r>
            <w:r w:rsidR="3ABB4DED" w:rsidRPr="0752BA49">
              <w:rPr>
                <w:rFonts w:eastAsiaTheme="minorEastAsia"/>
                <w:sz w:val="18"/>
                <w:szCs w:val="18"/>
              </w:rPr>
              <w:t>nc</w:t>
            </w:r>
            <w:r w:rsidRPr="0752BA49">
              <w:rPr>
                <w:rFonts w:eastAsiaTheme="minorEastAsia"/>
                <w:sz w:val="18"/>
                <w:szCs w:val="18"/>
              </w:rPr>
              <w:t>ije i na toj razini učinak je bio najveći. To se procjenjivalo kroz usporedbu ukupnog ili prosječnog rezultata na testu znanja ili pomoću % točnih odgovora.</w:t>
            </w:r>
          </w:p>
          <w:p w14:paraId="53F1DE22" w14:textId="02D1D59A" w:rsidR="74E64318" w:rsidRDefault="5A8A48C7" w:rsidP="0752BA49">
            <w:pPr>
              <w:spacing w:after="0"/>
              <w:rPr>
                <w:rFonts w:eastAsiaTheme="minorEastAsia"/>
                <w:sz w:val="18"/>
                <w:szCs w:val="18"/>
              </w:rPr>
            </w:pPr>
            <w:r w:rsidRPr="0752BA49">
              <w:rPr>
                <w:rFonts w:eastAsiaTheme="minorEastAsia"/>
                <w:sz w:val="18"/>
                <w:szCs w:val="18"/>
              </w:rPr>
              <w:t xml:space="preserve"> Dio istraživanja potvrdio je smanjenje stigme mentalnih poteškoća nakon interve</w:t>
            </w:r>
            <w:r w:rsidR="0E829C58" w:rsidRPr="0752BA49">
              <w:rPr>
                <w:rFonts w:eastAsiaTheme="minorEastAsia"/>
                <w:sz w:val="18"/>
                <w:szCs w:val="18"/>
              </w:rPr>
              <w:t>nc</w:t>
            </w:r>
            <w:r w:rsidRPr="0752BA49">
              <w:rPr>
                <w:rFonts w:eastAsiaTheme="minorEastAsia"/>
                <w:sz w:val="18"/>
                <w:szCs w:val="18"/>
              </w:rPr>
              <w:t>ije, no to nije bio slučaj kod svih analiziranih studija. Rezultati su bili u ovom segmentu teško usporedivi jer su stavovi provjeravani u različitim post-intervencijskim točkama</w:t>
            </w:r>
          </w:p>
          <w:p w14:paraId="5F265286" w14:textId="095AA369" w:rsidR="74E64318" w:rsidRDefault="5A8A48C7" w:rsidP="0752BA49">
            <w:pPr>
              <w:spacing w:after="0"/>
              <w:rPr>
                <w:rFonts w:eastAsiaTheme="minorEastAsia"/>
                <w:sz w:val="18"/>
                <w:szCs w:val="18"/>
              </w:rPr>
            </w:pPr>
            <w:r w:rsidRPr="0752BA49">
              <w:rPr>
                <w:rFonts w:eastAsiaTheme="minorEastAsia"/>
                <w:sz w:val="18"/>
                <w:szCs w:val="18"/>
              </w:rPr>
              <w:lastRenderedPageBreak/>
              <w:t>Manji broj studija proučavao je spremnost na traženje pomoći u slučaju poteškoća MZ i to su češće ispitivani stavovi prema tome nego zaista konkretna takva ponašanja. Rezultati su pokazali razlike i u spremnosti za traženje pomoći od određenih strana – intervencije su uglavnom povećale spremnost za traženje stručne pomoći (psihijatar, psiholog) i učitelja, ne toliko od obitelji i prijatelja, ali to uglavnom nije bilo mjereno validiranim upitnicima nego k</w:t>
            </w:r>
            <w:r w:rsidR="2E0FAFCE" w:rsidRPr="0752BA49">
              <w:rPr>
                <w:rFonts w:eastAsiaTheme="minorEastAsia"/>
                <w:sz w:val="18"/>
                <w:szCs w:val="18"/>
              </w:rPr>
              <w:t>ro</w:t>
            </w:r>
            <w:r w:rsidRPr="0752BA49">
              <w:rPr>
                <w:rFonts w:eastAsiaTheme="minorEastAsia"/>
                <w:sz w:val="18"/>
                <w:szCs w:val="18"/>
              </w:rPr>
              <w:t>z 1-2 pitanja.</w:t>
            </w:r>
          </w:p>
          <w:p w14:paraId="4CF0CF0A" w14:textId="598CAAC1" w:rsidR="74E64318" w:rsidRDefault="5A8A48C7" w:rsidP="0752BA49">
            <w:pPr>
              <w:spacing w:after="0"/>
              <w:rPr>
                <w:rFonts w:eastAsiaTheme="minorEastAsia"/>
                <w:sz w:val="18"/>
                <w:szCs w:val="18"/>
              </w:rPr>
            </w:pPr>
            <w:r w:rsidRPr="0752BA49">
              <w:rPr>
                <w:rFonts w:eastAsiaTheme="minorEastAsia"/>
                <w:sz w:val="18"/>
                <w:szCs w:val="18"/>
              </w:rPr>
              <w:t xml:space="preserve">Autori zaključuju da ova studija nije pokazala dovoljno jake dokaze u prilog efikasnosti programa za poboljšanje MZP  te da to treba imati na umu kad se dijele javna financijska sredstva za njihovo provođenje. Također ističu potrebu za validiranjem instrumenata kako bi evaluacija programa bila kvalitetnija. </w:t>
            </w:r>
          </w:p>
        </w:tc>
      </w:tr>
      <w:tr w:rsidR="74E64318" w14:paraId="0C8E4956"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0F648738" w14:textId="3F10DAF7"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lastRenderedPageBreak/>
              <w:t>Kako može koristiti na MentiFit projektu?</w:t>
            </w:r>
            <w:r w:rsidRPr="0752BA49">
              <w:rPr>
                <w:rFonts w:eastAsiaTheme="minorEastAsia"/>
                <w:b/>
                <w:bCs/>
                <w:color w:val="000000" w:themeColor="text1"/>
                <w:sz w:val="18"/>
                <w:szCs w:val="18"/>
              </w:rPr>
              <w:t xml:space="preserve"> </w:t>
            </w:r>
          </w:p>
          <w:p w14:paraId="013923D9" w14:textId="62546A6B"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4FFA51CB" w14:textId="3BC1176E"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Jasno su prikazani modeli i učinci intervencija za povećanje MZP mladih, kao i  metodološki nedostatci istraživanja što je dobro uzeti u obzir u našem radu i planiranju intervencije. Prikazani su i načini za provjeru učinaka intervencija koji  služe i za evaluaciju provedenih intervencijskih programa. </w:t>
            </w:r>
          </w:p>
          <w:p w14:paraId="59069E2C" w14:textId="2452C3F6"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Autori razlikuju pojam programa MZP i intervencija za povećanje mentalnog zdravlja ( bave se prvim)</w:t>
            </w:r>
          </w:p>
        </w:tc>
      </w:tr>
      <w:tr w:rsidR="74E64318" w14:paraId="46C80575" w14:textId="77777777" w:rsidTr="0752BA49">
        <w:trPr>
          <w:trHeight w:val="300"/>
        </w:trPr>
        <w:tc>
          <w:tcPr>
            <w:tcW w:w="2790" w:type="dxa"/>
            <w:tcBorders>
              <w:top w:val="single" w:sz="8" w:space="0" w:color="auto"/>
              <w:left w:val="single" w:sz="8" w:space="0" w:color="auto"/>
              <w:bottom w:val="single" w:sz="8" w:space="0" w:color="auto"/>
              <w:right w:val="single" w:sz="8" w:space="0" w:color="auto"/>
            </w:tcBorders>
          </w:tcPr>
          <w:p w14:paraId="4ABE7DC2" w14:textId="259CFB74"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 xml:space="preserve">Komentar, pitanje… </w:t>
            </w:r>
            <w:r w:rsidRPr="0752BA49">
              <w:rPr>
                <w:rFonts w:eastAsiaTheme="minorEastAsia"/>
                <w:b/>
                <w:bCs/>
                <w:color w:val="000000" w:themeColor="text1"/>
                <w:sz w:val="18"/>
                <w:szCs w:val="18"/>
              </w:rPr>
              <w:t xml:space="preserve"> </w:t>
            </w:r>
          </w:p>
        </w:tc>
        <w:tc>
          <w:tcPr>
            <w:tcW w:w="6270" w:type="dxa"/>
            <w:tcBorders>
              <w:top w:val="single" w:sz="8" w:space="0" w:color="auto"/>
              <w:left w:val="single" w:sz="8" w:space="0" w:color="auto"/>
              <w:bottom w:val="single" w:sz="8" w:space="0" w:color="auto"/>
              <w:right w:val="single" w:sz="8" w:space="0" w:color="auto"/>
            </w:tcBorders>
          </w:tcPr>
          <w:p w14:paraId="2B05B532" w14:textId="617CB70F" w:rsidR="74E64318" w:rsidRDefault="5A8A48C7" w:rsidP="0752BA49">
            <w:pPr>
              <w:spacing w:after="0"/>
              <w:rPr>
                <w:rFonts w:ascii="Calibri" w:eastAsia="Calibri" w:hAnsi="Calibri" w:cs="Calibri"/>
                <w:sz w:val="18"/>
                <w:szCs w:val="18"/>
              </w:rPr>
            </w:pPr>
            <w:r w:rsidRPr="0752BA49">
              <w:rPr>
                <w:rFonts w:ascii="Calibri" w:eastAsia="Calibri" w:hAnsi="Calibri" w:cs="Calibri"/>
                <w:sz w:val="18"/>
                <w:szCs w:val="18"/>
              </w:rPr>
              <w:t xml:space="preserve"> Autori upozoravaju da se za evaluaciju uglavnom koriste instrumenti koji nisu validirani, a još češće se koristi samo kratko pitanje-dva o individualnom osjećaju/dojmu/učinku  nakon intervencije.</w:t>
            </w:r>
          </w:p>
        </w:tc>
      </w:tr>
    </w:tbl>
    <w:p w14:paraId="0F130982" w14:textId="03387116" w:rsidR="74E64318" w:rsidRDefault="74E64318" w:rsidP="74E64318"/>
    <w:tbl>
      <w:tblPr>
        <w:tblW w:w="0" w:type="auto"/>
        <w:tblLook w:val="04A0" w:firstRow="1" w:lastRow="0" w:firstColumn="1" w:lastColumn="0" w:noHBand="0" w:noVBand="1"/>
      </w:tblPr>
      <w:tblGrid>
        <w:gridCol w:w="2728"/>
        <w:gridCol w:w="6324"/>
      </w:tblGrid>
      <w:tr w:rsidR="74E64318" w14:paraId="0160F1F3"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7CB9084A" w14:textId="771C0B06" w:rsidR="74E64318" w:rsidRDefault="33D10D42"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Referenca</w:t>
            </w:r>
            <w:r w:rsidR="5A8A48C7"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115835D8" w14:textId="695C3540" w:rsidR="74E64318" w:rsidRDefault="566C5074" w:rsidP="0752BA49">
            <w:pPr>
              <w:spacing w:after="0"/>
              <w:rPr>
                <w:rFonts w:eastAsiaTheme="minorEastAsia"/>
                <w:sz w:val="18"/>
                <w:szCs w:val="18"/>
                <w:lang w:val="en-US"/>
              </w:rPr>
            </w:pPr>
            <w:r w:rsidRPr="0752BA49">
              <w:rPr>
                <w:rFonts w:eastAsiaTheme="minorEastAsia"/>
                <w:sz w:val="18"/>
                <w:szCs w:val="18"/>
                <w:lang w:val="en-US"/>
              </w:rPr>
              <w:t xml:space="preserve">Nobre, J., Calha, A., Luis, H., Oliveira, A. P., Monteiro, F., Ferré-Grau, C., &amp; Sequeira, C. (2022). Mental Health Literacy and Positive Mental Health in Adolescents: A Correlational Study. </w:t>
            </w:r>
            <w:r w:rsidRPr="0752BA49">
              <w:rPr>
                <w:rFonts w:eastAsiaTheme="minorEastAsia"/>
                <w:i/>
                <w:iCs/>
                <w:sz w:val="18"/>
                <w:szCs w:val="18"/>
                <w:lang w:val="en-US"/>
              </w:rPr>
              <w:t>International journal of environmental research and public health</w:t>
            </w:r>
            <w:r w:rsidRPr="0752BA49">
              <w:rPr>
                <w:rFonts w:eastAsiaTheme="minorEastAsia"/>
                <w:sz w:val="18"/>
                <w:szCs w:val="18"/>
                <w:lang w:val="en-US"/>
              </w:rPr>
              <w:t xml:space="preserve">, </w:t>
            </w:r>
            <w:r w:rsidRPr="0752BA49">
              <w:rPr>
                <w:rFonts w:eastAsiaTheme="minorEastAsia"/>
                <w:i/>
                <w:iCs/>
                <w:sz w:val="18"/>
                <w:szCs w:val="18"/>
                <w:lang w:val="en-US"/>
              </w:rPr>
              <w:t>19</w:t>
            </w:r>
            <w:r w:rsidRPr="0752BA49">
              <w:rPr>
                <w:rFonts w:eastAsiaTheme="minorEastAsia"/>
                <w:sz w:val="18"/>
                <w:szCs w:val="18"/>
                <w:lang w:val="en-US"/>
              </w:rPr>
              <w:t>(13), 8165. https://doi.org/10.3390/ijerph19138165</w:t>
            </w:r>
          </w:p>
        </w:tc>
      </w:tr>
      <w:tr w:rsidR="74E64318" w14:paraId="5D816974"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77B3A0B8" w14:textId="06090872"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Link</w:t>
            </w: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32375F56" w14:textId="63510FD0" w:rsidR="74E64318" w:rsidRDefault="292FAB63" w:rsidP="0752BA49">
            <w:pPr>
              <w:spacing w:after="0"/>
              <w:rPr>
                <w:rFonts w:eastAsiaTheme="minorEastAsia"/>
                <w:color w:val="0563C1"/>
                <w:sz w:val="18"/>
                <w:szCs w:val="18"/>
              </w:rPr>
            </w:pPr>
            <w:r w:rsidRPr="0752BA49">
              <w:rPr>
                <w:rFonts w:eastAsiaTheme="minorEastAsia"/>
                <w:color w:val="0563C1"/>
                <w:sz w:val="18"/>
                <w:szCs w:val="18"/>
              </w:rPr>
              <w:t>DOI: 10.3390/ijerph19138165</w:t>
            </w:r>
          </w:p>
        </w:tc>
      </w:tr>
      <w:tr w:rsidR="74E64318" w14:paraId="4C9E6E21"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79741D2B" w14:textId="412C4C97"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Područje-tema</w:t>
            </w:r>
          </w:p>
        </w:tc>
        <w:tc>
          <w:tcPr>
            <w:tcW w:w="6330" w:type="dxa"/>
            <w:tcBorders>
              <w:top w:val="single" w:sz="8" w:space="0" w:color="auto"/>
              <w:left w:val="single" w:sz="8" w:space="0" w:color="auto"/>
              <w:bottom w:val="single" w:sz="8" w:space="0" w:color="auto"/>
              <w:right w:val="single" w:sz="8" w:space="0" w:color="auto"/>
            </w:tcBorders>
          </w:tcPr>
          <w:p w14:paraId="448D1A85" w14:textId="7ACD0769" w:rsidR="74E64318" w:rsidRDefault="5A8A48C7" w:rsidP="0752BA49">
            <w:pPr>
              <w:spacing w:after="0"/>
              <w:rPr>
                <w:rFonts w:eastAsiaTheme="minorEastAsia"/>
                <w:sz w:val="18"/>
                <w:szCs w:val="18"/>
              </w:rPr>
            </w:pPr>
            <w:r w:rsidRPr="0752BA49">
              <w:rPr>
                <w:rFonts w:eastAsiaTheme="minorEastAsia"/>
                <w:sz w:val="18"/>
                <w:szCs w:val="18"/>
              </w:rPr>
              <w:t xml:space="preserve">  Mentalno-zdravstvena pismenost</w:t>
            </w:r>
          </w:p>
        </w:tc>
      </w:tr>
      <w:tr w:rsidR="74E64318" w14:paraId="5A61DA97"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5B9F75E8" w14:textId="5BD6A85B"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Pripremila/pripremio</w:t>
            </w:r>
          </w:p>
        </w:tc>
        <w:tc>
          <w:tcPr>
            <w:tcW w:w="6330" w:type="dxa"/>
            <w:tcBorders>
              <w:top w:val="single" w:sz="8" w:space="0" w:color="auto"/>
              <w:left w:val="single" w:sz="8" w:space="0" w:color="auto"/>
              <w:bottom w:val="single" w:sz="8" w:space="0" w:color="auto"/>
              <w:right w:val="single" w:sz="8" w:space="0" w:color="auto"/>
            </w:tcBorders>
          </w:tcPr>
          <w:p w14:paraId="2A703FC0" w14:textId="2DCE3F9E" w:rsidR="74E64318" w:rsidRDefault="5A8A48C7" w:rsidP="0752BA49">
            <w:pPr>
              <w:spacing w:after="0"/>
              <w:rPr>
                <w:rFonts w:eastAsiaTheme="minorEastAsia"/>
                <w:sz w:val="18"/>
                <w:szCs w:val="18"/>
              </w:rPr>
            </w:pPr>
            <w:r w:rsidRPr="0752BA49">
              <w:rPr>
                <w:rFonts w:eastAsiaTheme="minorEastAsia"/>
                <w:sz w:val="18"/>
                <w:szCs w:val="18"/>
              </w:rPr>
              <w:t xml:space="preserve">  Renata Barić</w:t>
            </w:r>
          </w:p>
        </w:tc>
      </w:tr>
      <w:tr w:rsidR="74E64318" w14:paraId="77371EC3"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0670374D" w14:textId="38BA6BC3"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Categorisation</w:t>
            </w:r>
            <w:r w:rsidRPr="0752BA49">
              <w:rPr>
                <w:rFonts w:eastAsiaTheme="minorEastAsia"/>
                <w:b/>
                <w:bCs/>
                <w:color w:val="000000" w:themeColor="text1"/>
                <w:sz w:val="18"/>
                <w:szCs w:val="18"/>
              </w:rPr>
              <w:t xml:space="preserve"> </w:t>
            </w:r>
          </w:p>
          <w:p w14:paraId="527226F8" w14:textId="5225880A"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1 – esencijalan</w:t>
            </w:r>
          </w:p>
          <w:p w14:paraId="3B2F96F2" w14:textId="0AA82A3E"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2 – koristan</w:t>
            </w:r>
          </w:p>
          <w:p w14:paraId="67764647" w14:textId="70F23DDB" w:rsidR="74E64318" w:rsidRDefault="5A8A48C7" w:rsidP="0752BA49">
            <w:pPr>
              <w:spacing w:after="0"/>
              <w:rPr>
                <w:rFonts w:eastAsiaTheme="minorEastAsia"/>
                <w:color w:val="000000" w:themeColor="text1"/>
                <w:sz w:val="18"/>
                <w:szCs w:val="18"/>
                <w:lang w:val="en-GB"/>
              </w:rPr>
            </w:pPr>
            <w:r w:rsidRPr="0752BA49">
              <w:rPr>
                <w:rFonts w:eastAsiaTheme="minorEastAsia"/>
                <w:color w:val="000000" w:themeColor="text1"/>
                <w:sz w:val="18"/>
                <w:szCs w:val="18"/>
                <w:lang w:val="en-GB"/>
              </w:rPr>
              <w:t>3 – potencijalno koristan</w:t>
            </w:r>
          </w:p>
          <w:p w14:paraId="60F964E8" w14:textId="13285450" w:rsidR="74E64318" w:rsidRDefault="5A8A48C7" w:rsidP="0752BA49">
            <w:pPr>
              <w:spacing w:after="0"/>
              <w:rPr>
                <w:rFonts w:eastAsiaTheme="minorEastAsia"/>
                <w:b/>
                <w:bCs/>
                <w:color w:val="000000" w:themeColor="text1"/>
                <w:sz w:val="18"/>
                <w:szCs w:val="18"/>
              </w:rPr>
            </w:pPr>
            <w:r w:rsidRPr="0752BA49">
              <w:rPr>
                <w:rFonts w:eastAsiaTheme="minorEastAsia"/>
                <w:color w:val="000000" w:themeColor="text1"/>
                <w:sz w:val="18"/>
                <w:szCs w:val="18"/>
                <w:lang w:val="en-GB"/>
              </w:rPr>
              <w:t>4 – ima zanimljiv dio</w:t>
            </w: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599523C0" w14:textId="21F8FB5B" w:rsidR="74E64318" w:rsidRDefault="5A8A48C7" w:rsidP="0752BA49">
            <w:pPr>
              <w:spacing w:after="0"/>
              <w:rPr>
                <w:rFonts w:eastAsiaTheme="minorEastAsia"/>
                <w:b/>
                <w:bCs/>
                <w:color w:val="4472C4" w:themeColor="accent1"/>
                <w:sz w:val="18"/>
                <w:szCs w:val="18"/>
              </w:rPr>
            </w:pPr>
            <w:r w:rsidRPr="0752BA49">
              <w:rPr>
                <w:rFonts w:eastAsiaTheme="minorEastAsia"/>
                <w:b/>
                <w:bCs/>
                <w:color w:val="4472C4" w:themeColor="accent1"/>
                <w:sz w:val="18"/>
                <w:szCs w:val="18"/>
              </w:rPr>
              <w:t xml:space="preserve"> </w:t>
            </w:r>
          </w:p>
          <w:p w14:paraId="217ECA2B" w14:textId="16A59822" w:rsidR="74E64318" w:rsidRDefault="5A8A48C7" w:rsidP="0752BA49">
            <w:pPr>
              <w:spacing w:after="0"/>
              <w:rPr>
                <w:rFonts w:eastAsiaTheme="minorEastAsia"/>
                <w:b/>
                <w:bCs/>
                <w:color w:val="4472C4" w:themeColor="accent1"/>
                <w:sz w:val="18"/>
                <w:szCs w:val="18"/>
              </w:rPr>
            </w:pPr>
            <w:r w:rsidRPr="0752BA49">
              <w:rPr>
                <w:rFonts w:eastAsiaTheme="minorEastAsia"/>
                <w:b/>
                <w:bCs/>
                <w:color w:val="4472C4" w:themeColor="accent1"/>
                <w:sz w:val="18"/>
                <w:szCs w:val="18"/>
              </w:rPr>
              <w:t xml:space="preserve">   4</w:t>
            </w:r>
          </w:p>
        </w:tc>
      </w:tr>
      <w:tr w:rsidR="74E64318" w14:paraId="68BAFD8C"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492D62F5" w14:textId="4D5D385A" w:rsidR="74E64318" w:rsidRDefault="5A8A48C7" w:rsidP="0752BA49">
            <w:pPr>
              <w:spacing w:after="0"/>
              <w:rPr>
                <w:rFonts w:eastAsiaTheme="minorEastAsia"/>
                <w:b/>
                <w:bCs/>
                <w:sz w:val="18"/>
                <w:szCs w:val="18"/>
              </w:rPr>
            </w:pPr>
            <w:r w:rsidRPr="0752BA49">
              <w:rPr>
                <w:rFonts w:eastAsiaTheme="minorEastAsia"/>
                <w:b/>
                <w:bCs/>
                <w:sz w:val="18"/>
                <w:szCs w:val="18"/>
              </w:rPr>
              <w:t>Sažetak (kopija)</w:t>
            </w:r>
          </w:p>
          <w:p w14:paraId="7D15B69D" w14:textId="1542AD5B"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0CD654F9" w14:textId="43CC6BA2" w:rsidR="74E64318" w:rsidRDefault="5A8A48C7" w:rsidP="0752BA49">
            <w:pPr>
              <w:spacing w:after="0"/>
              <w:rPr>
                <w:rFonts w:eastAsiaTheme="minorEastAsia"/>
                <w:color w:val="29313D"/>
                <w:sz w:val="18"/>
                <w:szCs w:val="18"/>
              </w:rPr>
            </w:pPr>
            <w:r w:rsidRPr="0752BA49">
              <w:rPr>
                <w:rFonts w:eastAsiaTheme="minorEastAsia"/>
                <w:sz w:val="18"/>
                <w:szCs w:val="18"/>
              </w:rPr>
              <w:t xml:space="preserve"> </w:t>
            </w:r>
            <w:r w:rsidRPr="0752BA49">
              <w:rPr>
                <w:rFonts w:eastAsiaTheme="minorEastAsia"/>
                <w:color w:val="29313D"/>
                <w:sz w:val="18"/>
                <w:szCs w:val="18"/>
              </w:rPr>
              <w:t>This study aimed to assess adolescents′ Mental Health Literacy (MHL) level, Positive Mental Health (PMH) level, the association between sociodemographic variables and the MHL and PMH levels, and the relationship between adolescent′s MHL and PMH levels. A quantitative, cross-sectional, correlational study was conducted with a convenience sample of 260 adolescents studying in the 5th to 12th years of school. The Mental Health Knowledge Questionnaire, the Mental Health-Promoting Knowledge, and the Positive Mental Health Questionnaire were used for data collection. Most of the adolescents were female (55.8%) with a mean age of 14.07 years. The participants showed good levels of MHL (MHKQ). The participants showed good levels of MHL (MHKQ M = 60.03; MHPK-10  M = 4.49) and high levels of PMH (M = 128.25). The adolescents with higher levels of MHL were the oldest, in a higher year of school, female, those whose mothers are employed, those who have healthy eating habits, and those who have a better body image self-perception. Adolescents in a lower year of school, with adequate sleep habits, who spend fewer hours a day in front of a screen or online, and who have a better self-perception of mental and physical health and body image were the ones with higher PMH levels. These findings suggest the need to implement experimental or quasi-experimental studies to ascertain the effectiveness of interventions that promote adolescents′ positive mental health literacy</w:t>
            </w:r>
          </w:p>
        </w:tc>
      </w:tr>
      <w:tr w:rsidR="74E64318" w14:paraId="2527D876"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75C1FA12" w14:textId="109DAEE8"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Ključne riječi</w:t>
            </w:r>
          </w:p>
        </w:tc>
        <w:tc>
          <w:tcPr>
            <w:tcW w:w="6330" w:type="dxa"/>
            <w:tcBorders>
              <w:top w:val="single" w:sz="8" w:space="0" w:color="auto"/>
              <w:left w:val="single" w:sz="8" w:space="0" w:color="auto"/>
              <w:bottom w:val="single" w:sz="8" w:space="0" w:color="auto"/>
              <w:right w:val="single" w:sz="8" w:space="0" w:color="auto"/>
            </w:tcBorders>
          </w:tcPr>
          <w:p w14:paraId="0E5055BC" w14:textId="0DF5A987" w:rsidR="74E64318" w:rsidRDefault="5A8A48C7" w:rsidP="0752BA49">
            <w:pPr>
              <w:spacing w:after="0"/>
              <w:rPr>
                <w:rFonts w:eastAsiaTheme="minorEastAsia"/>
                <w:sz w:val="18"/>
                <w:szCs w:val="18"/>
              </w:rPr>
            </w:pPr>
            <w:r w:rsidRPr="0752BA49">
              <w:rPr>
                <w:rFonts w:eastAsiaTheme="minorEastAsia"/>
                <w:sz w:val="18"/>
                <w:szCs w:val="18"/>
              </w:rPr>
              <w:t xml:space="preserve"> Adolescenti, mentalno zdravlje, mentalno zdravstvena pismenost, pozitivno mentalno zdravlje, škola</w:t>
            </w:r>
          </w:p>
        </w:tc>
      </w:tr>
      <w:tr w:rsidR="74E64318" w14:paraId="3A0B0DEF"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6E2DD261" w14:textId="6F52BED6" w:rsidR="74E64318" w:rsidRDefault="5A8A48C7" w:rsidP="0752BA49">
            <w:pPr>
              <w:spacing w:after="0"/>
              <w:rPr>
                <w:rFonts w:eastAsiaTheme="minorEastAsia"/>
                <w:b/>
                <w:bCs/>
                <w:sz w:val="18"/>
                <w:szCs w:val="18"/>
              </w:rPr>
            </w:pPr>
            <w:r w:rsidRPr="0752BA49">
              <w:rPr>
                <w:rFonts w:eastAsiaTheme="minorEastAsia"/>
                <w:b/>
                <w:bCs/>
                <w:sz w:val="18"/>
                <w:szCs w:val="18"/>
              </w:rPr>
              <w:t>Kratki opis</w:t>
            </w:r>
          </w:p>
        </w:tc>
        <w:tc>
          <w:tcPr>
            <w:tcW w:w="6330" w:type="dxa"/>
            <w:tcBorders>
              <w:top w:val="single" w:sz="8" w:space="0" w:color="auto"/>
              <w:left w:val="single" w:sz="8" w:space="0" w:color="auto"/>
              <w:bottom w:val="single" w:sz="8" w:space="0" w:color="auto"/>
              <w:right w:val="single" w:sz="8" w:space="0" w:color="auto"/>
            </w:tcBorders>
          </w:tcPr>
          <w:p w14:paraId="4982CA87" w14:textId="78F879B9" w:rsidR="74E64318" w:rsidRDefault="5A8A48C7" w:rsidP="0752BA49">
            <w:pPr>
              <w:spacing w:after="0"/>
              <w:rPr>
                <w:rFonts w:eastAsiaTheme="minorEastAsia"/>
                <w:sz w:val="18"/>
                <w:szCs w:val="18"/>
              </w:rPr>
            </w:pPr>
            <w:r w:rsidRPr="0752BA49">
              <w:rPr>
                <w:rFonts w:eastAsiaTheme="minorEastAsia"/>
                <w:sz w:val="18"/>
                <w:szCs w:val="18"/>
              </w:rPr>
              <w:t xml:space="preserve"> Promjene koje se javljaju na tjelesnom i psihološkom planu u adolescenciji uz nisu MZP čine adolescente vulnerabilnim za razvoj simptoma narušenog mentalnog zdravlja. MZP i pozitivno mentalno zdravlje smatraju se </w:t>
            </w:r>
            <w:r w:rsidR="019BD0FD" w:rsidRPr="0752BA49">
              <w:rPr>
                <w:rFonts w:eastAsiaTheme="minorEastAsia"/>
                <w:sz w:val="18"/>
                <w:szCs w:val="18"/>
              </w:rPr>
              <w:t>zaštitnim</w:t>
            </w:r>
            <w:r w:rsidRPr="0752BA49">
              <w:rPr>
                <w:rFonts w:eastAsiaTheme="minorEastAsia"/>
                <w:sz w:val="18"/>
                <w:szCs w:val="18"/>
              </w:rPr>
              <w:t xml:space="preserve"> faktorima mentalnog zdravlja. Suvremena konceptualizacija MZP strukturira kroz 4 faktora: razumijevanje kako postići i održavati dobro mentalno zdravlje, razumijevanje mentalnih poremećaja i njihovih tretmana, smanjenje stigme povezane s mentalnim poremećajima i povećanje učinkovitosti traženja pomoći. Pozitivno mentalno zdravlje </w:t>
            </w:r>
            <w:r w:rsidRPr="0752BA49">
              <w:rPr>
                <w:rFonts w:eastAsiaTheme="minorEastAsia"/>
                <w:b/>
                <w:bCs/>
                <w:sz w:val="18"/>
                <w:szCs w:val="18"/>
              </w:rPr>
              <w:t>sastoji se od šest međusobno povezanih čimbenika:</w:t>
            </w:r>
            <w:r w:rsidRPr="0752BA49">
              <w:rPr>
                <w:rFonts w:eastAsiaTheme="minorEastAsia"/>
                <w:sz w:val="18"/>
                <w:szCs w:val="18"/>
              </w:rPr>
              <w:t xml:space="preserve"> osobno zadovoljstvo, prosocijalni stav, samokontrola, autonomija , rješavanje problema i samoaktualizacija  te vještine međuljudskih odnosa. Cilj je bio procijeniti razinu mentalne pismenosti  adolescenata, razinu pozitivnog mentalnog zdravlja, povezanost sociodemografskih varijabli s razinama MZP i PMZ  te odnos između razina MZP i PMZ. Na 260 portugalskih adolescenata 10-19 g primijenjen je opsežan upitnik demografskih obilježja, za procjenu MZP korišten je Upitnik znanja o mentalnom zdravlju I Upitnik </w:t>
            </w:r>
            <w:r w:rsidR="5E0B562F" w:rsidRPr="0752BA49">
              <w:rPr>
                <w:rFonts w:eastAsiaTheme="minorEastAsia"/>
                <w:sz w:val="18"/>
                <w:szCs w:val="18"/>
              </w:rPr>
              <w:t>znanja</w:t>
            </w:r>
            <w:r w:rsidRPr="0752BA49">
              <w:rPr>
                <w:rFonts w:eastAsiaTheme="minorEastAsia"/>
                <w:sz w:val="18"/>
                <w:szCs w:val="18"/>
              </w:rPr>
              <w:t xml:space="preserve"> o  promociji mentalnog zdravlja</w:t>
            </w:r>
          </w:p>
        </w:tc>
      </w:tr>
      <w:tr w:rsidR="74E64318" w14:paraId="09B5E12E"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2C31960F" w14:textId="1F8DA27E" w:rsidR="74E64318" w:rsidRDefault="5A8A48C7" w:rsidP="0752BA49">
            <w:pPr>
              <w:spacing w:after="0"/>
              <w:rPr>
                <w:rFonts w:eastAsiaTheme="minorEastAsia"/>
                <w:b/>
                <w:bCs/>
                <w:color w:val="000000" w:themeColor="text1"/>
                <w:sz w:val="18"/>
                <w:szCs w:val="18"/>
                <w:lang w:val="en-GB"/>
              </w:rPr>
            </w:pPr>
            <w:r w:rsidRPr="0752BA49">
              <w:rPr>
                <w:rFonts w:eastAsiaTheme="minorEastAsia"/>
                <w:b/>
                <w:bCs/>
                <w:color w:val="000000" w:themeColor="text1"/>
                <w:sz w:val="18"/>
                <w:szCs w:val="18"/>
                <w:lang w:val="en-GB"/>
              </w:rPr>
              <w:t>Ključni nalazi</w:t>
            </w:r>
          </w:p>
          <w:p w14:paraId="3E451122" w14:textId="71A5725A"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5D3D3020" w14:textId="71684FB3" w:rsidR="74E64318" w:rsidRDefault="5A8A48C7" w:rsidP="0752BA49">
            <w:pPr>
              <w:spacing w:after="0"/>
              <w:rPr>
                <w:rFonts w:eastAsiaTheme="minorEastAsia"/>
                <w:sz w:val="18"/>
                <w:szCs w:val="18"/>
              </w:rPr>
            </w:pPr>
            <w:r w:rsidRPr="0752BA49">
              <w:rPr>
                <w:rFonts w:eastAsiaTheme="minorEastAsia"/>
                <w:sz w:val="18"/>
                <w:szCs w:val="18"/>
              </w:rPr>
              <w:t xml:space="preserve"> 98.% adolescenata izjavilo je da nema poteškoća MZ i nije posjetilo stručnjaka po tom pitanju zadnja 3 mjeseca. Velika većina je procijenila svoje tjelesno i MZ  dobrim, te su na upitniku pozitivnog mentalnog zdravlja postizali u prosjeku visoke rezultate. Utvrđene su pozitivne i statistički značajne povezanosti između MZP i dobi, razreda škole, broja dnevnih obroka, zaposlenosti majke, ženskog spola, svakodnevnog unosa voća i povrća te dobre percepcije vlastitog tjelesnog izgleda. Značajne pozitivne povezanosti utvrđene su i između MZP i broja sati sna te samoprocjene tjelesnog zdravlja, mentalnog zdravlja i tjelesnog izgleda. Utvrđene su značajne negativne povezanosti između PMZ i razreda škole te broja dnevnih sati provedenih na internetu i pred ekranom. Na kraju, utvrđena je pozitivna korelacija između MZP i PMZ kod adolescenata. PMZ lagano opada u f-ji dobi, veće je u ranoj nego us rednjoj i kasnoj adolescenciji, dok za  MZP vrijedi obrnuto.</w:t>
            </w:r>
          </w:p>
        </w:tc>
      </w:tr>
      <w:tr w:rsidR="74E64318" w14:paraId="333C5B01"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413B45C0" w14:textId="74C5DA63"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Kako može koristiti na MentiFit projektu?</w:t>
            </w:r>
            <w:r w:rsidRPr="0752BA49">
              <w:rPr>
                <w:rFonts w:eastAsiaTheme="minorEastAsia"/>
                <w:b/>
                <w:bCs/>
                <w:color w:val="000000" w:themeColor="text1"/>
                <w:sz w:val="18"/>
                <w:szCs w:val="18"/>
              </w:rPr>
              <w:t xml:space="preserve"> </w:t>
            </w:r>
          </w:p>
          <w:p w14:paraId="2A10013F" w14:textId="31B761EE"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5C8A1A51" w14:textId="4CE29467" w:rsidR="74E64318" w:rsidRDefault="5A8A48C7" w:rsidP="0752BA49">
            <w:pPr>
              <w:spacing w:after="0"/>
              <w:rPr>
                <w:rFonts w:eastAsiaTheme="minorEastAsia"/>
                <w:sz w:val="18"/>
                <w:szCs w:val="18"/>
              </w:rPr>
            </w:pPr>
            <w:r w:rsidRPr="0752BA49">
              <w:rPr>
                <w:rFonts w:eastAsiaTheme="minorEastAsia"/>
                <w:sz w:val="18"/>
                <w:szCs w:val="18"/>
              </w:rPr>
              <w:t xml:space="preserve"> Može se koristiti kao referenca za razlike MZp u f-ji dobi, spola i dr. demografskih varijabli.</w:t>
            </w:r>
          </w:p>
        </w:tc>
      </w:tr>
      <w:tr w:rsidR="74E64318" w14:paraId="2529603F" w14:textId="77777777" w:rsidTr="0752BA49">
        <w:trPr>
          <w:trHeight w:val="300"/>
        </w:trPr>
        <w:tc>
          <w:tcPr>
            <w:tcW w:w="2730" w:type="dxa"/>
            <w:tcBorders>
              <w:top w:val="single" w:sz="8" w:space="0" w:color="auto"/>
              <w:left w:val="single" w:sz="8" w:space="0" w:color="auto"/>
              <w:bottom w:val="single" w:sz="8" w:space="0" w:color="auto"/>
              <w:right w:val="single" w:sz="8" w:space="0" w:color="auto"/>
            </w:tcBorders>
          </w:tcPr>
          <w:p w14:paraId="198DDACE" w14:textId="37EFAA1A" w:rsidR="74E64318" w:rsidRDefault="5A8A48C7" w:rsidP="0752BA49">
            <w:pPr>
              <w:spacing w:after="0"/>
              <w:rPr>
                <w:rFonts w:eastAsiaTheme="minorEastAsia"/>
                <w:b/>
                <w:bCs/>
                <w:color w:val="000000" w:themeColor="text1"/>
                <w:sz w:val="18"/>
                <w:szCs w:val="18"/>
              </w:rPr>
            </w:pPr>
            <w:r w:rsidRPr="0752BA49">
              <w:rPr>
                <w:rFonts w:eastAsiaTheme="minorEastAsia"/>
                <w:b/>
                <w:bCs/>
                <w:color w:val="000000" w:themeColor="text1"/>
                <w:sz w:val="18"/>
                <w:szCs w:val="18"/>
                <w:lang w:val="en-GB"/>
              </w:rPr>
              <w:t xml:space="preserve">Komentar, pitanje… </w:t>
            </w:r>
            <w:r w:rsidRPr="0752BA49">
              <w:rPr>
                <w:rFonts w:eastAsiaTheme="minorEastAsia"/>
                <w:b/>
                <w:bCs/>
                <w:color w:val="000000" w:themeColor="text1"/>
                <w:sz w:val="18"/>
                <w:szCs w:val="18"/>
              </w:rPr>
              <w:t xml:space="preserve"> </w:t>
            </w:r>
          </w:p>
        </w:tc>
        <w:tc>
          <w:tcPr>
            <w:tcW w:w="6330" w:type="dxa"/>
            <w:tcBorders>
              <w:top w:val="single" w:sz="8" w:space="0" w:color="auto"/>
              <w:left w:val="single" w:sz="8" w:space="0" w:color="auto"/>
              <w:bottom w:val="single" w:sz="8" w:space="0" w:color="auto"/>
              <w:right w:val="single" w:sz="8" w:space="0" w:color="auto"/>
            </w:tcBorders>
          </w:tcPr>
          <w:p w14:paraId="1EBB597F" w14:textId="2860633B" w:rsidR="74E64318" w:rsidRDefault="5A8A48C7" w:rsidP="0752BA49">
            <w:pPr>
              <w:spacing w:after="0"/>
              <w:rPr>
                <w:rFonts w:eastAsiaTheme="minorEastAsia"/>
                <w:sz w:val="18"/>
                <w:szCs w:val="18"/>
              </w:rPr>
            </w:pPr>
            <w:r w:rsidRPr="0752BA49">
              <w:rPr>
                <w:rFonts w:eastAsiaTheme="minorEastAsia"/>
                <w:sz w:val="18"/>
                <w:szCs w:val="18"/>
              </w:rPr>
              <w:t xml:space="preserve"> Slaba metodologija, rad samo opisuje deskriptivne podatke i korelacije između    varijabli</w:t>
            </w:r>
          </w:p>
        </w:tc>
      </w:tr>
    </w:tbl>
    <w:p w14:paraId="6197CAF4" w14:textId="6DC51F6E" w:rsidR="74E64318" w:rsidRDefault="74E64318" w:rsidP="74E64318"/>
    <w:p w14:paraId="69109CB8" w14:textId="3EA5741D" w:rsidR="74E64318" w:rsidRDefault="74E64318" w:rsidP="74E64318"/>
    <w:p w14:paraId="58534511" w14:textId="504E20CF" w:rsidR="74E64318" w:rsidRDefault="74E64318" w:rsidP="74E64318"/>
    <w:p w14:paraId="01E6002B" w14:textId="02F40A01" w:rsidR="74E64318" w:rsidRDefault="74E64318" w:rsidP="74E64318"/>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2"/>
        <w:gridCol w:w="6570"/>
      </w:tblGrid>
      <w:tr w:rsidR="00927DC5" w:rsidRPr="005365AA" w14:paraId="6A9E7F98" w14:textId="77777777" w:rsidTr="0752BA49">
        <w:trPr>
          <w:trHeight w:val="300"/>
        </w:trPr>
        <w:tc>
          <w:tcPr>
            <w:tcW w:w="3315" w:type="dxa"/>
            <w:hideMark/>
          </w:tcPr>
          <w:p w14:paraId="55E4107E" w14:textId="38487018"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2959870B" w14:textId="1FA96940" w:rsidR="00927DC5" w:rsidRPr="005365AA" w:rsidRDefault="06C6CDB9" w:rsidP="0752BA49">
            <w:pPr>
              <w:spacing w:after="0" w:line="240" w:lineRule="auto"/>
              <w:textAlignment w:val="baseline"/>
              <w:rPr>
                <w:rFonts w:eastAsiaTheme="minorEastAsia"/>
                <w:sz w:val="18"/>
                <w:szCs w:val="18"/>
                <w:lang w:val="en-US" w:eastAsia="hr-HR"/>
              </w:rPr>
            </w:pPr>
            <w:r w:rsidRPr="0752BA49">
              <w:rPr>
                <w:rFonts w:eastAsiaTheme="minorEastAsia"/>
                <w:sz w:val="18"/>
                <w:szCs w:val="18"/>
                <w:lang w:val="en-US" w:eastAsia="hr-HR"/>
              </w:rPr>
              <w:t>Kutcher, S., Wei, Y., &amp; Coniglio, C. (2016). Mental Health Literacy: Past, Present, and Future. Canadian journal of psychiatry. Revue canadienne de psychiatrie, 61(3), 154–158. https://doi.org/10.1177/0706743715616609</w:t>
            </w:r>
          </w:p>
        </w:tc>
      </w:tr>
      <w:tr w:rsidR="00927DC5" w:rsidRPr="005365AA" w14:paraId="4F68235D" w14:textId="77777777" w:rsidTr="0752BA49">
        <w:trPr>
          <w:trHeight w:val="300"/>
        </w:trPr>
        <w:tc>
          <w:tcPr>
            <w:tcW w:w="3315" w:type="dxa"/>
            <w:hideMark/>
          </w:tcPr>
          <w:p w14:paraId="5D91D8D0"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3F37814C" w14:textId="5B1DDB4C" w:rsidR="00927DC5" w:rsidRPr="005365AA" w:rsidRDefault="403F8C1C"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DOI: 10.1177/0706743715616609</w:t>
            </w:r>
          </w:p>
        </w:tc>
      </w:tr>
      <w:tr w:rsidR="00927DC5" w:rsidRPr="005365AA" w14:paraId="7121DFF9" w14:textId="77777777" w:rsidTr="0752BA49">
        <w:trPr>
          <w:trHeight w:val="300"/>
        </w:trPr>
        <w:tc>
          <w:tcPr>
            <w:tcW w:w="3315" w:type="dxa"/>
            <w:hideMark/>
          </w:tcPr>
          <w:p w14:paraId="6921900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47A07128" w14:textId="766B2FA9" w:rsidR="00927DC5" w:rsidRPr="005365AA" w:rsidRDefault="53E388E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Mentalno-zdravstvena pismenost</w:t>
            </w:r>
          </w:p>
        </w:tc>
      </w:tr>
      <w:tr w:rsidR="00927DC5" w:rsidRPr="005365AA" w14:paraId="1AE51F9A" w14:textId="77777777" w:rsidTr="0752BA49">
        <w:trPr>
          <w:trHeight w:val="300"/>
        </w:trPr>
        <w:tc>
          <w:tcPr>
            <w:tcW w:w="3315" w:type="dxa"/>
          </w:tcPr>
          <w:p w14:paraId="3B9A487F"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28DBFF7D" w14:textId="1CCD96B8" w:rsidR="00927DC5" w:rsidRPr="005365AA" w:rsidRDefault="3DDF951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Vedran Jakobek</w:t>
            </w:r>
          </w:p>
        </w:tc>
      </w:tr>
      <w:tr w:rsidR="00927DC5" w:rsidRPr="005365AA" w14:paraId="33F72ED4" w14:textId="77777777" w:rsidTr="0752BA49">
        <w:trPr>
          <w:trHeight w:val="300"/>
        </w:trPr>
        <w:tc>
          <w:tcPr>
            <w:tcW w:w="3315" w:type="dxa"/>
            <w:hideMark/>
          </w:tcPr>
          <w:p w14:paraId="62FA0B78"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2D96E11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10464225"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7264328C"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08F40C0A"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7B3E000C" w14:textId="6B50C292" w:rsidR="723C9DD8" w:rsidRDefault="723C9DD8" w:rsidP="0752BA49">
            <w:pPr>
              <w:spacing w:after="0" w:line="240" w:lineRule="exact"/>
              <w:rPr>
                <w:rFonts w:eastAsiaTheme="minorEastAsia"/>
                <w:b/>
                <w:bCs/>
                <w:color w:val="4472C4" w:themeColor="accent1"/>
                <w:sz w:val="18"/>
                <w:szCs w:val="18"/>
                <w:lang w:eastAsia="hr-HR"/>
              </w:rPr>
            </w:pPr>
          </w:p>
          <w:p w14:paraId="157E93C2" w14:textId="02B2C9EE" w:rsidR="00927DC5" w:rsidRPr="005365AA" w:rsidRDefault="0E365A79"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r w:rsidR="46C6D17B" w:rsidRPr="0752BA49">
              <w:rPr>
                <w:rFonts w:eastAsiaTheme="minorEastAsia"/>
                <w:b/>
                <w:bCs/>
                <w:color w:val="4472C4" w:themeColor="accent1"/>
                <w:sz w:val="18"/>
                <w:szCs w:val="18"/>
                <w:lang w:eastAsia="hr-HR"/>
              </w:rPr>
              <w:t>2</w:t>
            </w:r>
          </w:p>
        </w:tc>
      </w:tr>
      <w:tr w:rsidR="00927DC5" w:rsidRPr="005365AA" w14:paraId="1E6B3621" w14:textId="77777777" w:rsidTr="0752BA49">
        <w:trPr>
          <w:trHeight w:val="300"/>
        </w:trPr>
        <w:tc>
          <w:tcPr>
            <w:tcW w:w="3315" w:type="dxa"/>
            <w:hideMark/>
          </w:tcPr>
          <w:p w14:paraId="2CCC3B15"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320353B8"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44AF916F" w14:textId="5689888F" w:rsidR="00927DC5" w:rsidRPr="005365AA" w:rsidRDefault="2098BE1D"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Rad nema sažetak - vidjeti Kratki opis.</w:t>
            </w:r>
          </w:p>
        </w:tc>
      </w:tr>
      <w:tr w:rsidR="00927DC5" w:rsidRPr="005365AA" w14:paraId="469E0C80" w14:textId="77777777" w:rsidTr="0752BA49">
        <w:trPr>
          <w:trHeight w:val="300"/>
        </w:trPr>
        <w:tc>
          <w:tcPr>
            <w:tcW w:w="3315" w:type="dxa"/>
            <w:hideMark/>
          </w:tcPr>
          <w:p w14:paraId="12084B8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63476FEF" w14:textId="79B38584" w:rsidR="00927DC5" w:rsidRPr="005365AA" w:rsidRDefault="7F43E0B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Mentalno zdravlje, mentalna bolest, mentalno-zdravstvena pismenost</w:t>
            </w:r>
          </w:p>
        </w:tc>
      </w:tr>
      <w:tr w:rsidR="00927DC5" w:rsidRPr="005365AA" w14:paraId="3D940812" w14:textId="77777777" w:rsidTr="0752BA49">
        <w:trPr>
          <w:trHeight w:val="300"/>
        </w:trPr>
        <w:tc>
          <w:tcPr>
            <w:tcW w:w="3315" w:type="dxa"/>
            <w:hideMark/>
          </w:tcPr>
          <w:p w14:paraId="38525AD3"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4A731FB4" w14:textId="37CCC33C" w:rsidR="00927DC5" w:rsidRPr="005365AA" w:rsidRDefault="35BA2AB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Rad analizira razvoj koncepta mentalno-zdravstvene pismenosti (MZP; engl. mental health literacy) kroz prizmu razvoja koncepta zdravstvene pismenosti (engl. health literacy), razmatra izazove sadašnjih istraživanja ovoga konstrukta i nudi smjernice za buduća istraživanja. Definicija se </w:t>
            </w:r>
            <w:r w:rsidR="7A7C45A6" w:rsidRPr="0752BA49">
              <w:rPr>
                <w:rFonts w:eastAsiaTheme="minorEastAsia"/>
                <w:sz w:val="18"/>
                <w:szCs w:val="18"/>
                <w:lang w:eastAsia="hr-HR"/>
              </w:rPr>
              <w:t>MZP-a</w:t>
            </w:r>
            <w:r w:rsidRPr="0752BA49">
              <w:rPr>
                <w:rFonts w:eastAsiaTheme="minorEastAsia"/>
                <w:sz w:val="18"/>
                <w:szCs w:val="18"/>
                <w:lang w:eastAsia="hr-HR"/>
              </w:rPr>
              <w:t xml:space="preserve"> razvijala s vremenom, a aktualno obuhvaća razumijevanje kako postići i održati pozitivno mentalno zdravlje</w:t>
            </w:r>
            <w:r w:rsidR="062F199A" w:rsidRPr="0752BA49">
              <w:rPr>
                <w:rFonts w:eastAsiaTheme="minorEastAsia"/>
                <w:sz w:val="18"/>
                <w:szCs w:val="18"/>
                <w:lang w:eastAsia="hr-HR"/>
              </w:rPr>
              <w:t>,</w:t>
            </w:r>
            <w:r w:rsidRPr="0752BA49">
              <w:rPr>
                <w:rFonts w:eastAsiaTheme="minorEastAsia"/>
                <w:sz w:val="18"/>
                <w:szCs w:val="18"/>
                <w:lang w:eastAsia="hr-HR"/>
              </w:rPr>
              <w:t xml:space="preserve"> razumijevanje mentalnih poremećaja i njihovog liječenja</w:t>
            </w:r>
            <w:r w:rsidR="2D0D99F6" w:rsidRPr="0752BA49">
              <w:rPr>
                <w:rFonts w:eastAsiaTheme="minorEastAsia"/>
                <w:sz w:val="18"/>
                <w:szCs w:val="18"/>
                <w:lang w:eastAsia="hr-HR"/>
              </w:rPr>
              <w:t>,</w:t>
            </w:r>
            <w:r w:rsidRPr="0752BA49">
              <w:rPr>
                <w:rFonts w:eastAsiaTheme="minorEastAsia"/>
                <w:sz w:val="18"/>
                <w:szCs w:val="18"/>
                <w:lang w:eastAsia="hr-HR"/>
              </w:rPr>
              <w:t xml:space="preserve"> smanjenje stigme povezane s mentalnim poremećajima i poboljšanje učinkovitosti traženja pomoći. Autori identificiraju sljedeće nedostatke u dosadašnjem istraživanju konstrukta: kod evaluacije intervencija usmjerenih na poboljšanje mentalno-zdravstvene pismenosti većina istraživanja ne obuhvaća sve komponente MZP-a. U istraživanjima se vrlo često koriste psihološki mjerni instrumenti neadekvatnih psihometrijskih karakteristika. Nadalje, često se koriste dijagnostičke vinjete kojima se ne može adekvatno procijeniti cijeli konstrukt, jer se ovakva metoda procjene često usmjerava na mali broj poremećaja, ne uzima u obzir promicanje mentalnog zdravlja i zanemaruje važnost razlikovanja mentalnog poremećaja od nekliničkih problema u domeni mentalnog zdravlja. Neki su od ostalih nedostataka manjak istraživanja u određenim populacijama (npr. istraživanja se često provode na studentima, ali rijetko na mlađim populacijama) te primjena ist</w:t>
            </w:r>
            <w:r w:rsidR="4AF4E797" w:rsidRPr="0752BA49">
              <w:rPr>
                <w:rFonts w:eastAsiaTheme="minorEastAsia"/>
                <w:sz w:val="18"/>
                <w:szCs w:val="18"/>
                <w:lang w:eastAsia="hr-HR"/>
              </w:rPr>
              <w:t>ih</w:t>
            </w:r>
            <w:r w:rsidRPr="0752BA49">
              <w:rPr>
                <w:rFonts w:eastAsiaTheme="minorEastAsia"/>
                <w:sz w:val="18"/>
                <w:szCs w:val="18"/>
                <w:lang w:eastAsia="hr-HR"/>
              </w:rPr>
              <w:t xml:space="preserve"> intervencij</w:t>
            </w:r>
            <w:r w:rsidR="3405FC86" w:rsidRPr="0752BA49">
              <w:rPr>
                <w:rFonts w:eastAsiaTheme="minorEastAsia"/>
                <w:sz w:val="18"/>
                <w:szCs w:val="18"/>
                <w:lang w:eastAsia="hr-HR"/>
              </w:rPr>
              <w:t>a</w:t>
            </w:r>
            <w:r w:rsidRPr="0752BA49">
              <w:rPr>
                <w:rFonts w:eastAsiaTheme="minorEastAsia"/>
                <w:sz w:val="18"/>
                <w:szCs w:val="18"/>
                <w:lang w:eastAsia="hr-HR"/>
              </w:rPr>
              <w:t xml:space="preserve"> na različitim populacijama bez</w:t>
            </w:r>
            <w:r w:rsidR="0130EB62" w:rsidRPr="0752BA49">
              <w:rPr>
                <w:rFonts w:eastAsiaTheme="minorEastAsia"/>
                <w:sz w:val="18"/>
                <w:szCs w:val="18"/>
                <w:lang w:eastAsia="hr-HR"/>
              </w:rPr>
              <w:t xml:space="preserve"> njihove</w:t>
            </w:r>
            <w:r w:rsidRPr="0752BA49">
              <w:rPr>
                <w:rFonts w:eastAsiaTheme="minorEastAsia"/>
                <w:sz w:val="18"/>
                <w:szCs w:val="18"/>
                <w:lang w:eastAsia="hr-HR"/>
              </w:rPr>
              <w:t xml:space="preserve"> adaptacije. Intervencije za razvoj MZP-a moraju biti razvojno primjerene i primjenjivati se unutar najprikladnijeg konteksta. Npr., intervencije usmjerene na adolescente trebale bi se provoditi unutar obrazovnog okruženja, biti pedagoški poznate i nastavnicima i učenicima te koristiti moderne elektroničke platforme.</w:t>
            </w:r>
          </w:p>
        </w:tc>
      </w:tr>
      <w:tr w:rsidR="00927DC5" w:rsidRPr="005365AA" w14:paraId="034D3121" w14:textId="77777777" w:rsidTr="0752BA49">
        <w:trPr>
          <w:trHeight w:val="300"/>
        </w:trPr>
        <w:tc>
          <w:tcPr>
            <w:tcW w:w="3315" w:type="dxa"/>
            <w:hideMark/>
          </w:tcPr>
          <w:p w14:paraId="73065F8C"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568C62DD"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4EC77FEE" w14:textId="7D7367F6" w:rsidR="00927DC5" w:rsidRPr="005365AA" w:rsidRDefault="565F5EC6" w:rsidP="0752BA49">
            <w:pPr>
              <w:pStyle w:val="Odlomakpopisa"/>
              <w:numPr>
                <w:ilvl w:val="0"/>
                <w:numId w:val="4"/>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Većina dosadašnjih istraživanja ne pokriva sve dimenzije konstrukta MZP-a </w:t>
            </w:r>
          </w:p>
          <w:p w14:paraId="48A9A161" w14:textId="558636F9" w:rsidR="00927DC5" w:rsidRPr="005365AA" w:rsidRDefault="565F5EC6" w:rsidP="0752BA49">
            <w:pPr>
              <w:pStyle w:val="Odlomakpopisa"/>
              <w:numPr>
                <w:ilvl w:val="0"/>
                <w:numId w:val="4"/>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Vrlo se često koriste mjerni instrumenti neadekvatnih metrijskih karakteristika, odnosno </w:t>
            </w:r>
            <w:r w:rsidR="3E28DA95" w:rsidRPr="0752BA49">
              <w:rPr>
                <w:rFonts w:eastAsiaTheme="minorEastAsia"/>
                <w:sz w:val="18"/>
                <w:szCs w:val="18"/>
                <w:lang w:eastAsia="hr-HR"/>
              </w:rPr>
              <w:t>dijagnostičke vinjete kojima se ispituje znanje o manjem broju mentalnih poremećaja</w:t>
            </w:r>
          </w:p>
          <w:p w14:paraId="0B840A48" w14:textId="38F65ECA" w:rsidR="00927DC5" w:rsidRPr="005365AA" w:rsidRDefault="3E28DA95" w:rsidP="0752BA49">
            <w:pPr>
              <w:pStyle w:val="Odlomakpopisa"/>
              <w:numPr>
                <w:ilvl w:val="0"/>
                <w:numId w:val="4"/>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Manjak je istraživanja u populaciji na koju je usmjeren projekt MentiFit</w:t>
            </w:r>
          </w:p>
          <w:p w14:paraId="62B98C6E" w14:textId="2B02BD7D" w:rsidR="00927DC5" w:rsidRPr="005365AA" w:rsidRDefault="1E190FF5" w:rsidP="0752BA49">
            <w:pPr>
              <w:pStyle w:val="Odlomakpopisa"/>
              <w:numPr>
                <w:ilvl w:val="0"/>
                <w:numId w:val="4"/>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Iste se intervencije, bez adaptacije, primjenjuju na različite populacije</w:t>
            </w:r>
            <w:r w:rsidR="0925799C" w:rsidRPr="0752BA49">
              <w:rPr>
                <w:rFonts w:eastAsiaTheme="minorEastAsia"/>
                <w:sz w:val="18"/>
                <w:szCs w:val="18"/>
                <w:lang w:eastAsia="hr-HR"/>
              </w:rPr>
              <w:t xml:space="preserve"> što je pogrešan pristup</w:t>
            </w:r>
          </w:p>
        </w:tc>
      </w:tr>
      <w:tr w:rsidR="00927DC5" w:rsidRPr="005365AA" w14:paraId="014E580B" w14:textId="77777777" w:rsidTr="0752BA49">
        <w:trPr>
          <w:trHeight w:val="300"/>
        </w:trPr>
        <w:tc>
          <w:tcPr>
            <w:tcW w:w="3315" w:type="dxa"/>
            <w:hideMark/>
          </w:tcPr>
          <w:p w14:paraId="4362784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33AE46D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3FDFA1C8" w14:textId="2D9DD953" w:rsidR="00927DC5" w:rsidRPr="005365AA" w:rsidRDefault="7643F895"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Rad opisuje suvremeno razumijevanje koncepta MZP-a i naglašava važnost obuhvaćanja svih dimenzija konstrukta u istraživačkim praksama. Nadalje, naglašava važnost prilagodbe intervencije populaciji (u slučaju projekta MentiFit učenicima 7. i 8. razreda). Autori naglašavaju da bi intervencija trebala biti pedagoški poznata učenicima te uključivati suvremene (elektroničke) obrazovne metode što može biti smjernica za dizajn intervencije u sklopu projekta MentiFit. Kritika korištenja dijagnostičkih vinjeta i psihometrijski neadekvatnih instrumenata ukazuje na potrebu da se u sklopu projekta koristi razvojno primjerena i validirana mjera koje obuhvaćaju sve dimenzije MZP-a. Takva će mjera omogućiti kvalitetnu osnovu za evaluaciju intervencije. Manjak istraživanja u populacijama mlađim od studentske ukazuje na potencijalno važan znanstveni doprinos u području unaprjeđenja MZP-a kod adolescenata.</w:t>
            </w:r>
          </w:p>
        </w:tc>
      </w:tr>
      <w:tr w:rsidR="00927DC5" w:rsidRPr="005365AA" w14:paraId="7C78C3A8" w14:textId="77777777" w:rsidTr="0752BA49">
        <w:trPr>
          <w:trHeight w:val="300"/>
        </w:trPr>
        <w:tc>
          <w:tcPr>
            <w:tcW w:w="3315" w:type="dxa"/>
            <w:hideMark/>
          </w:tcPr>
          <w:p w14:paraId="35943E1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131DE221"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022DE657" w14:textId="35EA3C06" w:rsidR="00927DC5" w:rsidRDefault="00927DC5"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9"/>
        <w:gridCol w:w="6503"/>
      </w:tblGrid>
      <w:tr w:rsidR="00927DC5" w:rsidRPr="005365AA" w14:paraId="581BD10D" w14:textId="77777777" w:rsidTr="0752BA49">
        <w:trPr>
          <w:trHeight w:val="300"/>
        </w:trPr>
        <w:tc>
          <w:tcPr>
            <w:tcW w:w="3315" w:type="dxa"/>
            <w:hideMark/>
          </w:tcPr>
          <w:p w14:paraId="7C99F457" w14:textId="6E27FD2A"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393F9AA0" w14:textId="7136FC86" w:rsidR="00927DC5" w:rsidRPr="005365AA" w:rsidRDefault="59D12467" w:rsidP="0752BA49">
            <w:pPr>
              <w:spacing w:after="0" w:line="240" w:lineRule="auto"/>
              <w:textAlignment w:val="baseline"/>
              <w:rPr>
                <w:rFonts w:eastAsiaTheme="minorEastAsia"/>
                <w:sz w:val="18"/>
                <w:szCs w:val="18"/>
                <w:lang w:val="en-US"/>
              </w:rPr>
            </w:pPr>
            <w:r w:rsidRPr="0752BA49">
              <w:rPr>
                <w:rFonts w:eastAsiaTheme="minorEastAsia"/>
                <w:sz w:val="18"/>
                <w:szCs w:val="18"/>
                <w:lang w:val="en-US" w:eastAsia="hr-HR"/>
              </w:rPr>
              <w:t>I</w:t>
            </w:r>
            <w:r w:rsidR="345BA0BB" w:rsidRPr="0752BA49">
              <w:rPr>
                <w:rFonts w:eastAsiaTheme="minorEastAsia"/>
                <w:sz w:val="18"/>
                <w:szCs w:val="18"/>
                <w:lang w:val="en-US"/>
              </w:rPr>
              <w:t xml:space="preserve"> Seedaket, S., Turnbull, N., Phajan, T., &amp; Wanchai, A. (2020). Improving mental health literacy in adolescents: systematic review of supporting intervention studies. </w:t>
            </w:r>
            <w:r w:rsidR="345BA0BB" w:rsidRPr="0752BA49">
              <w:rPr>
                <w:rFonts w:eastAsiaTheme="minorEastAsia"/>
                <w:i/>
                <w:iCs/>
                <w:sz w:val="18"/>
                <w:szCs w:val="18"/>
                <w:lang w:val="en-US"/>
              </w:rPr>
              <w:t>Tropical medicine &amp; international health : TM &amp; IH</w:t>
            </w:r>
            <w:r w:rsidR="345BA0BB" w:rsidRPr="0752BA49">
              <w:rPr>
                <w:rFonts w:eastAsiaTheme="minorEastAsia"/>
                <w:sz w:val="18"/>
                <w:szCs w:val="18"/>
                <w:lang w:val="en-US"/>
              </w:rPr>
              <w:t xml:space="preserve">, </w:t>
            </w:r>
            <w:r w:rsidR="345BA0BB" w:rsidRPr="0752BA49">
              <w:rPr>
                <w:rFonts w:eastAsiaTheme="minorEastAsia"/>
                <w:i/>
                <w:iCs/>
                <w:sz w:val="18"/>
                <w:szCs w:val="18"/>
                <w:lang w:val="en-US"/>
              </w:rPr>
              <w:t>25</w:t>
            </w:r>
            <w:r w:rsidR="345BA0BB" w:rsidRPr="0752BA49">
              <w:rPr>
                <w:rFonts w:eastAsiaTheme="minorEastAsia"/>
                <w:sz w:val="18"/>
                <w:szCs w:val="18"/>
                <w:lang w:val="en-US"/>
              </w:rPr>
              <w:t>(9), 1055–1064. https://doi.org/10.1111/tmi.13449</w:t>
            </w:r>
          </w:p>
        </w:tc>
      </w:tr>
      <w:tr w:rsidR="00927DC5" w:rsidRPr="005365AA" w14:paraId="68146F6F" w14:textId="77777777" w:rsidTr="0752BA49">
        <w:trPr>
          <w:trHeight w:val="300"/>
        </w:trPr>
        <w:tc>
          <w:tcPr>
            <w:tcW w:w="3315" w:type="dxa"/>
            <w:hideMark/>
          </w:tcPr>
          <w:p w14:paraId="3E2FD343"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4BC88EA0" w14:textId="28F222AD" w:rsidR="00927DC5" w:rsidRPr="005365AA" w:rsidRDefault="311AF81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doi:10.1111/tmi.13449</w:t>
            </w:r>
          </w:p>
        </w:tc>
      </w:tr>
      <w:tr w:rsidR="00927DC5" w:rsidRPr="005365AA" w14:paraId="2CB42461" w14:textId="77777777" w:rsidTr="0752BA49">
        <w:trPr>
          <w:trHeight w:val="300"/>
        </w:trPr>
        <w:tc>
          <w:tcPr>
            <w:tcW w:w="3315" w:type="dxa"/>
            <w:hideMark/>
          </w:tcPr>
          <w:p w14:paraId="7303D0F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74744CD3" w14:textId="77F3C355" w:rsidR="00927DC5" w:rsidRPr="005365AA" w:rsidRDefault="5DFA93DB"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Mentalno-zdravstvena pismenost</w:t>
            </w:r>
          </w:p>
        </w:tc>
      </w:tr>
      <w:tr w:rsidR="00927DC5" w:rsidRPr="005365AA" w14:paraId="5B06E6F0" w14:textId="77777777" w:rsidTr="0752BA49">
        <w:trPr>
          <w:trHeight w:val="300"/>
        </w:trPr>
        <w:tc>
          <w:tcPr>
            <w:tcW w:w="3315" w:type="dxa"/>
          </w:tcPr>
          <w:p w14:paraId="15E45C1B"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74AE3A7E" w14:textId="45BC17A5" w:rsidR="00927DC5" w:rsidRPr="005365AA" w:rsidRDefault="5029F2BD"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Vedran Jakobek</w:t>
            </w:r>
          </w:p>
        </w:tc>
      </w:tr>
      <w:tr w:rsidR="00927DC5" w:rsidRPr="005365AA" w14:paraId="74398E72" w14:textId="77777777" w:rsidTr="0752BA49">
        <w:trPr>
          <w:trHeight w:val="300"/>
        </w:trPr>
        <w:tc>
          <w:tcPr>
            <w:tcW w:w="3315" w:type="dxa"/>
            <w:hideMark/>
          </w:tcPr>
          <w:p w14:paraId="32D66612"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6616950E"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0B61361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2B6501CC"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5D02C91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3A19E36B" w14:textId="41AEF987" w:rsidR="723C9DD8" w:rsidRDefault="723C9DD8" w:rsidP="0752BA49">
            <w:pPr>
              <w:spacing w:after="0" w:line="240" w:lineRule="exact"/>
              <w:rPr>
                <w:rFonts w:eastAsiaTheme="minorEastAsia"/>
                <w:b/>
                <w:bCs/>
                <w:color w:val="4472C4" w:themeColor="accent1"/>
                <w:sz w:val="18"/>
                <w:szCs w:val="18"/>
                <w:lang w:eastAsia="hr-HR"/>
              </w:rPr>
            </w:pPr>
          </w:p>
          <w:p w14:paraId="4EE9A3B1" w14:textId="28BA3B21" w:rsidR="00927DC5" w:rsidRPr="005365AA" w:rsidRDefault="2C13A775"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r w:rsidR="6587B5C1" w:rsidRPr="0752BA49">
              <w:rPr>
                <w:rFonts w:eastAsiaTheme="minorEastAsia"/>
                <w:b/>
                <w:bCs/>
                <w:color w:val="4472C4" w:themeColor="accent1"/>
                <w:sz w:val="18"/>
                <w:szCs w:val="18"/>
                <w:lang w:eastAsia="hr-HR"/>
              </w:rPr>
              <w:t>2</w:t>
            </w:r>
          </w:p>
        </w:tc>
      </w:tr>
      <w:tr w:rsidR="00927DC5" w:rsidRPr="005365AA" w14:paraId="61536C11" w14:textId="77777777" w:rsidTr="0752BA49">
        <w:trPr>
          <w:trHeight w:val="300"/>
        </w:trPr>
        <w:tc>
          <w:tcPr>
            <w:tcW w:w="3315" w:type="dxa"/>
            <w:hideMark/>
          </w:tcPr>
          <w:p w14:paraId="5F1AA0C0"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1B95D0FA"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7FE13F50" w14:textId="7161B16C" w:rsidR="00927DC5" w:rsidRPr="005365AA" w:rsidRDefault="0EC2372F"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Objective</w:t>
            </w:r>
            <w:r w:rsidRPr="0752BA49">
              <w:rPr>
                <w:rFonts w:eastAsiaTheme="minorEastAsia"/>
                <w:sz w:val="18"/>
                <w:szCs w:val="18"/>
                <w:lang w:eastAsia="hr-HR"/>
              </w:rPr>
              <w:t xml:space="preserve"> </w:t>
            </w:r>
          </w:p>
          <w:p w14:paraId="5E697409" w14:textId="5FE73637" w:rsidR="00927DC5" w:rsidRPr="005365AA" w:rsidRDefault="0EC2372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Mental health literacy (MHL) in adolescents is an important issue as it can lead to early detection and recognition of mental illness. The aim of this systematic review was to explore the effect of supporting interventions on improving MHL in adolescents. </w:t>
            </w:r>
          </w:p>
          <w:p w14:paraId="2E3A35C0" w14:textId="01B55F5A" w:rsidR="00927DC5" w:rsidRPr="005365AA" w:rsidRDefault="0EC2372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 xml:space="preserve">Methods </w:t>
            </w:r>
          </w:p>
          <w:p w14:paraId="40215C1E" w14:textId="6BE122A6" w:rsidR="00927DC5" w:rsidRPr="005365AA" w:rsidRDefault="0EC2372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Systematic literature review by searching the ScienceDirect, Scopus, PubMed, Crochrane and CINAHL databases. Seven of 1107 papers were included in the final review. </w:t>
            </w:r>
          </w:p>
          <w:p w14:paraId="01A0245E" w14:textId="5EFC4FCF" w:rsidR="00927DC5" w:rsidRPr="005365AA" w:rsidRDefault="0EC2372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 xml:space="preserve">Results </w:t>
            </w:r>
          </w:p>
          <w:p w14:paraId="699F8EA9" w14:textId="64B69F1B" w:rsidR="00927DC5" w:rsidRPr="005365AA" w:rsidRDefault="0EC2372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Supporting interventions for improving MHL in adolescents could be categorised into school-based and community-based. Both types used an education stand-alone strategy or an education plus contact-based group in their programmes. To provide knowledge of mental illness to adolescents, teaching methods should be interactive and use various media such as group discussion, videos and movies. </w:t>
            </w:r>
          </w:p>
          <w:p w14:paraId="35AE6B93" w14:textId="6A2F51EC" w:rsidR="00927DC5" w:rsidRPr="005365AA" w:rsidRDefault="0EC2372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Conclusions</w:t>
            </w:r>
          </w:p>
          <w:p w14:paraId="5D7EB786" w14:textId="60436B7C" w:rsidR="00927DC5" w:rsidRPr="005365AA" w:rsidRDefault="0EC2372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School-based and community-based interventions were likely to improve MHL among adolescents. However, further research with objective tool measures is needed to confirm the findings.</w:t>
            </w:r>
          </w:p>
        </w:tc>
      </w:tr>
      <w:tr w:rsidR="00927DC5" w:rsidRPr="005365AA" w14:paraId="0BFFDA18" w14:textId="77777777" w:rsidTr="0752BA49">
        <w:trPr>
          <w:trHeight w:val="300"/>
        </w:trPr>
        <w:tc>
          <w:tcPr>
            <w:tcW w:w="3315" w:type="dxa"/>
            <w:hideMark/>
          </w:tcPr>
          <w:p w14:paraId="5865A097"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4DCEA795" w14:textId="3C58B34F" w:rsidR="00927DC5" w:rsidRPr="005365AA" w:rsidRDefault="3190B524"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Mentalno-zdravstvena pismenost, adolescent, intervencija, intervencija u zajednici, intervencija u školi, </w:t>
            </w:r>
            <w:r w:rsidR="5EF44AE4" w:rsidRPr="0752BA49">
              <w:rPr>
                <w:rFonts w:eastAsiaTheme="minorEastAsia"/>
                <w:sz w:val="18"/>
                <w:szCs w:val="18"/>
                <w:lang w:eastAsia="hr-HR"/>
              </w:rPr>
              <w:t>sustavni pregled istraživanja</w:t>
            </w:r>
          </w:p>
        </w:tc>
      </w:tr>
      <w:tr w:rsidR="00927DC5" w:rsidRPr="005365AA" w14:paraId="198EEB7D" w14:textId="77777777" w:rsidTr="0752BA49">
        <w:trPr>
          <w:trHeight w:val="300"/>
        </w:trPr>
        <w:tc>
          <w:tcPr>
            <w:tcW w:w="3315" w:type="dxa"/>
            <w:hideMark/>
          </w:tcPr>
          <w:p w14:paraId="715E91D3"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540D33F4" w14:textId="29E9CF7C" w:rsidR="00927DC5" w:rsidRPr="005365AA" w:rsidRDefault="6704C1ED"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Napravljen je sustavni pregled randomiziranih kontroliranih pokusa (engl. randomised controlled trials) čiji je cilj bio procjena učinkovitosti intervencija za unaprjeđenje mentalno-zdravstvene pismenosti (MZP) u adolescenata dobi između 10 i 19 godina. Kriterije je za uključivanje u istraživanje zadovoljilo sedam radova objavljenih između 2009. i 2019. godine. Autori su identificirali dvije šire kategorije intervencija: intervencije u školama i intervencije u zajednici. Dvije su strategije korištene u intervencijama u školama: samostalna edukacija (Prenošenje informacija o mentalnim poremećajima i dostupnim resursima za unaprjeđenje mentalnog zdravlja. Metode poučavanja bile su raznolike, interaktivne i vodili su ih obučen učitelji. Sva istraživanja izvještavaju o pozitivnim učincima ovakvih intervencija.) ili edukacija u kombinaciji s kontaktom s osobama koje su imale mentalni poremećaj, ali su trenutačno u stanju remisije (Istraživanje u kojem je primijenjen takav nacrt</w:t>
            </w:r>
            <w:r w:rsidR="1831B1D9" w:rsidRPr="0752BA49">
              <w:rPr>
                <w:rFonts w:eastAsiaTheme="minorEastAsia"/>
                <w:sz w:val="18"/>
                <w:szCs w:val="18"/>
                <w:lang w:eastAsia="hr-HR"/>
              </w:rPr>
              <w:t xml:space="preserve"> -</w:t>
            </w:r>
            <w:r w:rsidRPr="0752BA49">
              <w:rPr>
                <w:rFonts w:eastAsiaTheme="minorEastAsia"/>
                <w:sz w:val="18"/>
                <w:szCs w:val="18"/>
                <w:lang w:eastAsia="hr-HR"/>
              </w:rPr>
              <w:t xml:space="preserve"> sama edukacija imala je pozitivniji učinak na razinu stigmatizacije u odnosu na edukaciju s kontaktom s osobom koja je imala iskustvo mentalnog poremećaja.). Dva istraživanja ispitivala su učinke intervencije u zajednici. Kratka radionica (45 min.) koju su vodile osobe s iskustvom mentalne bolesti, povezana je s većim znanjem o mentalnim poremećajima, pozitivnijim stavovima i namjeri pružanja pomoći, ali nije utjeca</w:t>
            </w:r>
            <w:r w:rsidR="1C0536F5" w:rsidRPr="0752BA49">
              <w:rPr>
                <w:rFonts w:eastAsiaTheme="minorEastAsia"/>
                <w:sz w:val="18"/>
                <w:szCs w:val="18"/>
                <w:lang w:eastAsia="hr-HR"/>
              </w:rPr>
              <w:t>la</w:t>
            </w:r>
            <w:r w:rsidRPr="0752BA49">
              <w:rPr>
                <w:rFonts w:eastAsiaTheme="minorEastAsia"/>
                <w:sz w:val="18"/>
                <w:szCs w:val="18"/>
                <w:lang w:eastAsia="hr-HR"/>
              </w:rPr>
              <w:t xml:space="preserve"> na osobn</w:t>
            </w:r>
            <w:r w:rsidR="670A5395" w:rsidRPr="0752BA49">
              <w:rPr>
                <w:rFonts w:eastAsiaTheme="minorEastAsia"/>
                <w:sz w:val="18"/>
                <w:szCs w:val="18"/>
                <w:lang w:eastAsia="hr-HR"/>
              </w:rPr>
              <w:t>u namjeru</w:t>
            </w:r>
            <w:r w:rsidRPr="0752BA49">
              <w:rPr>
                <w:rFonts w:eastAsiaTheme="minorEastAsia"/>
                <w:sz w:val="18"/>
                <w:szCs w:val="18"/>
                <w:lang w:eastAsia="hr-HR"/>
              </w:rPr>
              <w:t xml:space="preserve"> traženje pomoći ni psihološku dobrobit kod mladih muških sportaša. Druga 60-minutna edukacija značajno je poboljšala mentalno-zdravstvenu pismenost</w:t>
            </w:r>
            <w:r w:rsidR="36CD46E4" w:rsidRPr="0752BA49">
              <w:rPr>
                <w:rFonts w:eastAsiaTheme="minorEastAsia"/>
                <w:sz w:val="18"/>
                <w:szCs w:val="18"/>
                <w:lang w:eastAsia="hr-HR"/>
              </w:rPr>
              <w:t xml:space="preserve"> u adolescenata</w:t>
            </w:r>
            <w:r w:rsidRPr="0752BA49">
              <w:rPr>
                <w:rFonts w:eastAsiaTheme="minorEastAsia"/>
                <w:sz w:val="18"/>
                <w:szCs w:val="18"/>
                <w:lang w:eastAsia="hr-HR"/>
              </w:rPr>
              <w:t xml:space="preserve"> koja je mjerena 4 i 8 tjedana nakon intervencije, no nije pokazala učinak na stigmu, vjerojatno zbog kratkog trajanja intervencije.</w:t>
            </w:r>
          </w:p>
        </w:tc>
      </w:tr>
      <w:tr w:rsidR="00927DC5" w:rsidRPr="005365AA" w14:paraId="63CCA398" w14:textId="77777777" w:rsidTr="0752BA49">
        <w:trPr>
          <w:trHeight w:val="300"/>
        </w:trPr>
        <w:tc>
          <w:tcPr>
            <w:tcW w:w="3315" w:type="dxa"/>
            <w:hideMark/>
          </w:tcPr>
          <w:p w14:paraId="1AECD7B4"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0B1BDE33"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6F2BFFC1" w14:textId="60E89F2C" w:rsidR="00927DC5" w:rsidRPr="005365AA" w:rsidRDefault="062884B8" w:rsidP="0752BA49">
            <w:pPr>
              <w:pStyle w:val="Odlomakpopisa"/>
              <w:numPr>
                <w:ilvl w:val="0"/>
                <w:numId w:val="6"/>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Trodnevna intervencija koju su u školi provodili nastavnici, a uključivala je individualne i grupne zadatke te video-materijale, dovela je do značajnog poboljšanja prepoznavanja simptoma, smanjenja stigmatizirajućih uvjerenja i većeg znanja o traženju pomoći (Skre i sur., 2013).</w:t>
            </w:r>
          </w:p>
          <w:p w14:paraId="0CEDA2A0" w14:textId="2FFF2E6C" w:rsidR="00927DC5" w:rsidRPr="005365AA" w:rsidRDefault="455FE24D" w:rsidP="0752BA49">
            <w:pPr>
              <w:pStyle w:val="Odlomakpopisa"/>
              <w:numPr>
                <w:ilvl w:val="0"/>
                <w:numId w:val="6"/>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Desetosatna psihoedukacija koju su proveli učitelji koristeći prezentacije, brošure i druge dodatke značajno je povećala znanje o depresiji i smanjila stigmu, ali nije imala učinak na stavove prema traženju pomoći; ograničenja uključuju provedbene poteškoće (učitelji nisu prikupili upitnike na vrijeme) i moguće nedovoljno trajanje programa.</w:t>
            </w:r>
          </w:p>
          <w:p w14:paraId="0EBF1B1F" w14:textId="1BBB93CF" w:rsidR="00927DC5" w:rsidRPr="005365AA" w:rsidRDefault="0011B02D" w:rsidP="0752BA49">
            <w:pPr>
              <w:pStyle w:val="Odlomakpopisa"/>
              <w:numPr>
                <w:ilvl w:val="0"/>
                <w:numId w:val="6"/>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Školski kurikulum sastavljen od šest modula (1. stigma mentalnih bolesti; 2. razumijevanje mentalnog zdravlja i bolesti; 3. specifične mentalne bolesti; 4. iskustva mentalnih bolesti; 5. traženje pomoći; 6. važnost pozitivnog mentalnog zdravlja), proveden tijekom 10 sati nastave, značajno je povećao znanje o mentalnom zdravlju i smanjio stigmu kod srednjoškolaca (Milin i sur., 2016).</w:t>
            </w:r>
          </w:p>
          <w:p w14:paraId="679B7009" w14:textId="79F1E3A3" w:rsidR="00927DC5" w:rsidRPr="005365AA" w:rsidRDefault="787BBF93" w:rsidP="0752BA49">
            <w:pPr>
              <w:pStyle w:val="Odlomakpopisa"/>
              <w:numPr>
                <w:ilvl w:val="0"/>
                <w:numId w:val="6"/>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Kratki multimodalni (video zapisi, filmovi, zadaće, grupne aktivnosti s interaktivnim predavanjem) program (oko 3 sata) povećao je znanje o depresiji kod učenika, ali nije imao učinak na stigmu (Swartz i sur., 2017).</w:t>
            </w:r>
          </w:p>
          <w:p w14:paraId="4727FAC8" w14:textId="687B96C9" w:rsidR="00927DC5" w:rsidRPr="005365AA" w:rsidRDefault="02BBF4CD" w:rsidP="0752BA49">
            <w:pPr>
              <w:pStyle w:val="Odlomakpopisa"/>
              <w:numPr>
                <w:ilvl w:val="0"/>
                <w:numId w:val="6"/>
              </w:numPr>
              <w:spacing w:after="0" w:line="240" w:lineRule="auto"/>
              <w:textAlignment w:val="baseline"/>
              <w:rPr>
                <w:rFonts w:eastAsiaTheme="minorEastAsia"/>
                <w:sz w:val="18"/>
                <w:szCs w:val="18"/>
                <w:lang w:eastAsia="hr-HR"/>
              </w:rPr>
            </w:pPr>
            <w:r w:rsidRPr="0752BA49">
              <w:rPr>
                <w:rFonts w:eastAsiaTheme="minorEastAsia"/>
                <w:sz w:val="18"/>
                <w:szCs w:val="18"/>
                <w:lang w:eastAsia="hr-HR"/>
              </w:rPr>
              <w:t>Jednodnevna edukacija pokazala je da je samostalna edukacija učinkovitija u smanjenju stigme nego edukacija uz kontakt s osobom koja je imala mentalni poremećaj koji je u remisiji, dok niti jedna od dvije intervencije nije utjecala na traženje pomoći (Chisholm i sur., 2016).</w:t>
            </w:r>
          </w:p>
        </w:tc>
      </w:tr>
      <w:tr w:rsidR="00927DC5" w:rsidRPr="005365AA" w14:paraId="586B9AF4" w14:textId="77777777" w:rsidTr="0752BA49">
        <w:trPr>
          <w:trHeight w:val="300"/>
        </w:trPr>
        <w:tc>
          <w:tcPr>
            <w:tcW w:w="3315" w:type="dxa"/>
            <w:hideMark/>
          </w:tcPr>
          <w:p w14:paraId="3CACEF5C"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516780E6"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0AC8E7A7" w14:textId="059FE9CA" w:rsidR="00927DC5" w:rsidRPr="005365AA" w:rsidRDefault="1FA8A05A"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Rad nudi  smjernice za dizajn i evaluaciju intervencije. Naglašava potrebu da se sadržaj i poruke intervencije prilagode ciljanoj skupini adolescenata, uz uvažavanje njihove razvojne faze i početne razine mentalno-zdravstvene pismenosti. Ističe se važnost korištenja suvremenih, adolescentima bliskih medija (npr. videozapisi, filmovi, igre uloga) te aktivnih metoda učenja. Autori napominju da je intervencije najbolje provesti u školama. Ističe se nužnost mjerenja svih komponenti mentalno-zdravstvene pismenosti (znanje, stavovi/stigma i učinkovitost traženja pomoći) s pomoću validiranih instrumenata. Nalazi sugeriraju da kraće intervencije najčešće poboljšavaju znanje, ali rijetko utječu na stavove i traženje pomoći, što upućuje na potrebu za dovoljno dugom i strukturiranom intervencijom u sklopu MentiFit projekta kako bi se postigle promjene u svim dimenzijama MZP-a.</w:t>
            </w:r>
          </w:p>
        </w:tc>
      </w:tr>
      <w:tr w:rsidR="00927DC5" w:rsidRPr="005365AA" w14:paraId="4240C1BF" w14:textId="77777777" w:rsidTr="0752BA49">
        <w:trPr>
          <w:trHeight w:val="300"/>
        </w:trPr>
        <w:tc>
          <w:tcPr>
            <w:tcW w:w="3315" w:type="dxa"/>
            <w:hideMark/>
          </w:tcPr>
          <w:p w14:paraId="33245FB4"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157846CC"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760D704B" w14:textId="49559AB9" w:rsidR="00927DC5" w:rsidRDefault="00927DC5" w:rsidP="005365AA"/>
    <w:p w14:paraId="05C61774" w14:textId="0AF2D122" w:rsidR="0752BA49" w:rsidRDefault="0752BA49"/>
    <w:p w14:paraId="741D78FB" w14:textId="29B723DB" w:rsidR="00927DC5" w:rsidRDefault="00927DC5" w:rsidP="005365A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6317"/>
      </w:tblGrid>
      <w:tr w:rsidR="00927DC5" w:rsidRPr="005365AA" w14:paraId="7F892D60" w14:textId="77777777" w:rsidTr="0752BA49">
        <w:trPr>
          <w:trHeight w:val="300"/>
        </w:trPr>
        <w:tc>
          <w:tcPr>
            <w:tcW w:w="2745" w:type="dxa"/>
            <w:hideMark/>
          </w:tcPr>
          <w:p w14:paraId="509AA40F" w14:textId="35DEB552"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6317" w:type="dxa"/>
          </w:tcPr>
          <w:p w14:paraId="5794B8FA" w14:textId="0FC2D920" w:rsidR="00927DC5" w:rsidRPr="005365AA" w:rsidRDefault="3692412B" w:rsidP="0752BA49">
            <w:pPr>
              <w:spacing w:after="0" w:line="240" w:lineRule="auto"/>
              <w:textAlignment w:val="baseline"/>
              <w:rPr>
                <w:rFonts w:eastAsiaTheme="minorEastAsia"/>
                <w:sz w:val="18"/>
                <w:szCs w:val="18"/>
              </w:rPr>
            </w:pPr>
            <w:r w:rsidRPr="0752BA49">
              <w:rPr>
                <w:rFonts w:eastAsiaTheme="minorEastAsia"/>
                <w:sz w:val="18"/>
                <w:szCs w:val="18"/>
              </w:rPr>
              <w:t xml:space="preserve">Wort, G. K., Wiltshire, G., Sebire, S., Peacock, O., &amp; Thompson, D. (2024). Primary School Pupils' Perceptions and Experiences of Wearable Technologies. </w:t>
            </w:r>
            <w:r w:rsidRPr="0752BA49">
              <w:rPr>
                <w:rFonts w:eastAsiaTheme="minorEastAsia"/>
                <w:i/>
                <w:iCs/>
                <w:sz w:val="18"/>
                <w:szCs w:val="18"/>
              </w:rPr>
              <w:t>The Journal of school health</w:t>
            </w:r>
            <w:r w:rsidRPr="0752BA49">
              <w:rPr>
                <w:rFonts w:eastAsiaTheme="minorEastAsia"/>
                <w:sz w:val="18"/>
                <w:szCs w:val="18"/>
              </w:rPr>
              <w:t xml:space="preserve">, </w:t>
            </w:r>
            <w:r w:rsidRPr="0752BA49">
              <w:rPr>
                <w:rFonts w:eastAsiaTheme="minorEastAsia"/>
                <w:i/>
                <w:iCs/>
                <w:sz w:val="18"/>
                <w:szCs w:val="18"/>
              </w:rPr>
              <w:t>94</w:t>
            </w:r>
            <w:r w:rsidRPr="0752BA49">
              <w:rPr>
                <w:rFonts w:eastAsiaTheme="minorEastAsia"/>
                <w:sz w:val="18"/>
                <w:szCs w:val="18"/>
              </w:rPr>
              <w:t>(12), 1119–1128. https://doi.org/10.1111/josh.13509</w:t>
            </w:r>
          </w:p>
        </w:tc>
      </w:tr>
      <w:tr w:rsidR="00927DC5" w:rsidRPr="005365AA" w14:paraId="3AB4AB8C" w14:textId="77777777" w:rsidTr="0752BA49">
        <w:trPr>
          <w:trHeight w:val="300"/>
        </w:trPr>
        <w:tc>
          <w:tcPr>
            <w:tcW w:w="2745" w:type="dxa"/>
            <w:hideMark/>
          </w:tcPr>
          <w:p w14:paraId="4C9EC4E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6317" w:type="dxa"/>
          </w:tcPr>
          <w:p w14:paraId="0E3B00AC" w14:textId="07378BED" w:rsidR="723C9DD8" w:rsidRDefault="000D719D" w:rsidP="0752BA49">
            <w:pPr>
              <w:spacing w:after="0" w:line="240" w:lineRule="auto"/>
              <w:rPr>
                <w:rFonts w:eastAsiaTheme="minorEastAsia"/>
                <w:color w:val="000000" w:themeColor="text1"/>
                <w:sz w:val="18"/>
                <w:szCs w:val="18"/>
              </w:rPr>
            </w:pPr>
            <w:hyperlink r:id="rId11">
              <w:r w:rsidR="43130E9E" w:rsidRPr="0752BA49">
                <w:rPr>
                  <w:rStyle w:val="Hiperveza"/>
                  <w:rFonts w:eastAsiaTheme="minorEastAsia"/>
                  <w:sz w:val="18"/>
                  <w:szCs w:val="18"/>
                </w:rPr>
                <w:t>https://onlinelibrary.wiley.com/doi/10.1111/josh.13509</w:t>
              </w:r>
            </w:hyperlink>
          </w:p>
        </w:tc>
      </w:tr>
      <w:tr w:rsidR="00927DC5" w:rsidRPr="005365AA" w14:paraId="313CEA26" w14:textId="77777777" w:rsidTr="0752BA49">
        <w:trPr>
          <w:trHeight w:val="300"/>
        </w:trPr>
        <w:tc>
          <w:tcPr>
            <w:tcW w:w="2745" w:type="dxa"/>
            <w:hideMark/>
          </w:tcPr>
          <w:p w14:paraId="4025E9C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6317" w:type="dxa"/>
          </w:tcPr>
          <w:p w14:paraId="3290CC75" w14:textId="07BE5BA1"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Mjerenje tjelesne aktivnosti</w:t>
            </w:r>
          </w:p>
        </w:tc>
      </w:tr>
      <w:tr w:rsidR="00927DC5" w:rsidRPr="005365AA" w14:paraId="5447CC5A" w14:textId="77777777" w:rsidTr="0752BA49">
        <w:trPr>
          <w:trHeight w:val="300"/>
        </w:trPr>
        <w:tc>
          <w:tcPr>
            <w:tcW w:w="2745" w:type="dxa"/>
          </w:tcPr>
          <w:p w14:paraId="08EF77C5"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6317" w:type="dxa"/>
          </w:tcPr>
          <w:p w14:paraId="25DB035C" w14:textId="15E38B2C"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Jelena Gerjević</w:t>
            </w:r>
          </w:p>
        </w:tc>
      </w:tr>
      <w:tr w:rsidR="00927DC5" w:rsidRPr="005365AA" w14:paraId="6F523B6B" w14:textId="77777777" w:rsidTr="0752BA49">
        <w:trPr>
          <w:trHeight w:val="300"/>
        </w:trPr>
        <w:tc>
          <w:tcPr>
            <w:tcW w:w="2745" w:type="dxa"/>
            <w:hideMark/>
          </w:tcPr>
          <w:p w14:paraId="61776C9D"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3D8EADA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25A8F214"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5D5BC042"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23EB7966"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6317" w:type="dxa"/>
          </w:tcPr>
          <w:p w14:paraId="32F8513C" w14:textId="44FAF1DB" w:rsidR="1AC094BA" w:rsidRDefault="75A191FF" w:rsidP="0752BA49">
            <w:pPr>
              <w:spacing w:after="0" w:line="240" w:lineRule="exact"/>
              <w:rPr>
                <w:rFonts w:eastAsiaTheme="minorEastAsia"/>
                <w:b/>
                <w:bCs/>
                <w:color w:val="4471C4"/>
                <w:sz w:val="18"/>
                <w:szCs w:val="18"/>
              </w:rPr>
            </w:pPr>
            <w:r w:rsidRPr="0752BA49">
              <w:rPr>
                <w:rFonts w:eastAsiaTheme="minorEastAsia"/>
                <w:b/>
                <w:bCs/>
                <w:color w:val="4471C4"/>
                <w:sz w:val="18"/>
                <w:szCs w:val="18"/>
              </w:rPr>
              <w:t xml:space="preserve">   </w:t>
            </w:r>
          </w:p>
          <w:p w14:paraId="13CEF614" w14:textId="18EB0F16" w:rsidR="723C9DD8" w:rsidRDefault="723C9DD8" w:rsidP="0752BA49">
            <w:pPr>
              <w:spacing w:after="0" w:line="240" w:lineRule="exact"/>
              <w:rPr>
                <w:rFonts w:eastAsiaTheme="minorEastAsia"/>
                <w:b/>
                <w:bCs/>
                <w:color w:val="4471C4"/>
                <w:sz w:val="18"/>
                <w:szCs w:val="18"/>
              </w:rPr>
            </w:pPr>
          </w:p>
          <w:p w14:paraId="233ADD18" w14:textId="54C087B1" w:rsidR="1AC094BA" w:rsidRDefault="75A191FF" w:rsidP="0752BA49">
            <w:pPr>
              <w:spacing w:after="0" w:line="240" w:lineRule="exact"/>
              <w:rPr>
                <w:rFonts w:eastAsiaTheme="minorEastAsia"/>
                <w:b/>
                <w:bCs/>
                <w:color w:val="4471C4"/>
                <w:sz w:val="18"/>
                <w:szCs w:val="18"/>
              </w:rPr>
            </w:pPr>
            <w:r w:rsidRPr="0752BA49">
              <w:rPr>
                <w:rFonts w:eastAsiaTheme="minorEastAsia"/>
                <w:b/>
                <w:bCs/>
                <w:color w:val="4471C4"/>
                <w:sz w:val="18"/>
                <w:szCs w:val="18"/>
              </w:rPr>
              <w:t xml:space="preserve">   </w:t>
            </w:r>
            <w:r w:rsidR="25D63157" w:rsidRPr="0752BA49">
              <w:rPr>
                <w:rFonts w:eastAsiaTheme="minorEastAsia"/>
                <w:b/>
                <w:bCs/>
                <w:color w:val="4471C4"/>
                <w:sz w:val="18"/>
                <w:szCs w:val="18"/>
              </w:rPr>
              <w:t>3</w:t>
            </w:r>
          </w:p>
        </w:tc>
      </w:tr>
      <w:tr w:rsidR="00927DC5" w:rsidRPr="005365AA" w14:paraId="7E1F426E" w14:textId="77777777" w:rsidTr="0752BA49">
        <w:trPr>
          <w:trHeight w:val="300"/>
        </w:trPr>
        <w:tc>
          <w:tcPr>
            <w:tcW w:w="2745" w:type="dxa"/>
            <w:hideMark/>
          </w:tcPr>
          <w:p w14:paraId="40BE7CB8"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66C37AA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317" w:type="dxa"/>
          </w:tcPr>
          <w:p w14:paraId="19C47377" w14:textId="6F3D73DB" w:rsidR="23023020" w:rsidRDefault="6BEF9D21" w:rsidP="0752BA49">
            <w:pPr>
              <w:spacing w:after="0" w:line="240" w:lineRule="auto"/>
              <w:rPr>
                <w:rFonts w:eastAsiaTheme="minorEastAsia"/>
                <w:color w:val="000000" w:themeColor="text1"/>
                <w:sz w:val="18"/>
                <w:szCs w:val="18"/>
                <w:lang w:val="en-US"/>
              </w:rPr>
            </w:pPr>
            <w:r w:rsidRPr="0752BA49">
              <w:rPr>
                <w:rFonts w:eastAsiaTheme="minorEastAsia"/>
                <w:b/>
                <w:bCs/>
                <w:color w:val="000000" w:themeColor="text1"/>
                <w:sz w:val="18"/>
                <w:szCs w:val="18"/>
                <w:lang w:val="en-US"/>
              </w:rPr>
              <w:t>BACKGROUND</w:t>
            </w:r>
            <w:r w:rsidR="43130E9E" w:rsidRPr="0752BA49">
              <w:rPr>
                <w:rFonts w:eastAsiaTheme="minorEastAsia"/>
                <w:color w:val="000000" w:themeColor="text1"/>
                <w:sz w:val="18"/>
                <w:szCs w:val="18"/>
                <w:lang w:val="en-US"/>
              </w:rPr>
              <w:t>: Wearable technologies offer new opportunities to address in-school physical inactivity. However, children areoften excluded from discussing issues which directly impact them, including the use of wearable technologies in a school setting. Thus, the aim of this study is to understand primary school pupils’ experiences and perceptions of using wearable</w:t>
            </w:r>
          </w:p>
          <w:p w14:paraId="77628054" w14:textId="2A38AB12"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physical activity monitoring technologies within schools.</w:t>
            </w:r>
          </w:p>
          <w:p w14:paraId="7969A3D5" w14:textId="42AF3026" w:rsidR="723C9DD8" w:rsidRDefault="43130E9E" w:rsidP="0752BA49">
            <w:pPr>
              <w:spacing w:after="0" w:line="240" w:lineRule="auto"/>
              <w:rPr>
                <w:rFonts w:eastAsiaTheme="minorEastAsia"/>
                <w:color w:val="000000" w:themeColor="text1"/>
                <w:sz w:val="18"/>
                <w:szCs w:val="18"/>
              </w:rPr>
            </w:pPr>
            <w:r w:rsidRPr="0752BA49">
              <w:rPr>
                <w:rFonts w:eastAsiaTheme="minorEastAsia"/>
                <w:b/>
                <w:bCs/>
                <w:color w:val="000000" w:themeColor="text1"/>
                <w:sz w:val="18"/>
                <w:szCs w:val="18"/>
              </w:rPr>
              <w:t>METHODS</w:t>
            </w:r>
            <w:r w:rsidRPr="0752BA49">
              <w:rPr>
                <w:rFonts w:eastAsiaTheme="minorEastAsia"/>
                <w:color w:val="000000" w:themeColor="text1"/>
                <w:sz w:val="18"/>
                <w:szCs w:val="18"/>
              </w:rPr>
              <w:t>: Nine semi-structured focus groups were conducted with 41 Year 5 and 6 pupils (19 girls, 22 boys) from 5 primary</w:t>
            </w:r>
          </w:p>
          <w:p w14:paraId="1763C59B" w14:textId="3C0EB00F"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schools in the South West of England. Focus group transcripts were analyzed using a reflective thematic approach.</w:t>
            </w:r>
          </w:p>
          <w:p w14:paraId="3F416FFB" w14:textId="68D05560" w:rsidR="723C9DD8" w:rsidRDefault="43130E9E" w:rsidP="0752BA49">
            <w:pPr>
              <w:spacing w:after="0" w:line="240" w:lineRule="auto"/>
              <w:rPr>
                <w:rFonts w:eastAsiaTheme="minorEastAsia"/>
                <w:color w:val="000000" w:themeColor="text1"/>
                <w:sz w:val="18"/>
                <w:szCs w:val="18"/>
              </w:rPr>
            </w:pPr>
            <w:r w:rsidRPr="0752BA49">
              <w:rPr>
                <w:rFonts w:eastAsiaTheme="minorEastAsia"/>
                <w:b/>
                <w:bCs/>
                <w:color w:val="000000" w:themeColor="text1"/>
                <w:sz w:val="18"/>
                <w:szCs w:val="18"/>
              </w:rPr>
              <w:t>RESULTS</w:t>
            </w:r>
            <w:r w:rsidRPr="0752BA49">
              <w:rPr>
                <w:rFonts w:eastAsiaTheme="minorEastAsia"/>
                <w:color w:val="000000" w:themeColor="text1"/>
                <w:sz w:val="18"/>
                <w:szCs w:val="18"/>
              </w:rPr>
              <w:t>: Pupils made valuable contributions to discussions around wearable technologies, considering both advantages and</w:t>
            </w:r>
          </w:p>
          <w:p w14:paraId="3589630E" w14:textId="45CC1C73"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Disadvantages.</w:t>
            </w:r>
          </w:p>
          <w:p w14:paraId="4180C9D2" w14:textId="4F09F8EE"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Most importantly, when discussing use in schools, pupils were mindful that while they wanted to see their own</w:t>
            </w:r>
          </w:p>
          <w:p w14:paraId="46F38534" w14:textId="6E947563"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activity and saw benefit in teachers knowing their activity, they felt comparisons in classes could lead to negative emotions for</w:t>
            </w:r>
          </w:p>
          <w:p w14:paraId="3F3C74C9" w14:textId="30475E15"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some pupils.</w:t>
            </w:r>
          </w:p>
          <w:p w14:paraId="68B51EBB" w14:textId="787CFB0D" w:rsidR="723C9DD8" w:rsidRDefault="43130E9E" w:rsidP="0752BA49">
            <w:pPr>
              <w:spacing w:after="0" w:line="240" w:lineRule="auto"/>
              <w:rPr>
                <w:rFonts w:eastAsiaTheme="minorEastAsia"/>
                <w:color w:val="000000" w:themeColor="text1"/>
                <w:sz w:val="18"/>
                <w:szCs w:val="18"/>
              </w:rPr>
            </w:pPr>
            <w:r w:rsidRPr="0752BA49">
              <w:rPr>
                <w:rFonts w:eastAsiaTheme="minorEastAsia"/>
                <w:b/>
                <w:bCs/>
                <w:color w:val="000000" w:themeColor="text1"/>
                <w:sz w:val="18"/>
                <w:szCs w:val="18"/>
              </w:rPr>
              <w:t>CONCLUSION</w:t>
            </w:r>
            <w:r w:rsidRPr="0752BA49">
              <w:rPr>
                <w:rFonts w:eastAsiaTheme="minorEastAsia"/>
                <w:color w:val="000000" w:themeColor="text1"/>
                <w:sz w:val="18"/>
                <w:szCs w:val="18"/>
              </w:rPr>
              <w:t>: The findings from this study can contribute to a more detailed understanding of pupils’ perspectives, which</w:t>
            </w:r>
          </w:p>
          <w:p w14:paraId="12AA774C" w14:textId="08437B3D"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can help inform school-based interventions which aim to address physical inactivity and associated inequalities. Instead of using</w:t>
            </w:r>
          </w:p>
          <w:p w14:paraId="58A80D88" w14:textId="115C8B0B"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wearable devices for individual pupil ownership, schools should access data-insights with the intention of changing school</w:t>
            </w:r>
          </w:p>
          <w:p w14:paraId="002DA7CA" w14:textId="341F42A6"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practices.</w:t>
            </w:r>
          </w:p>
        </w:tc>
      </w:tr>
      <w:tr w:rsidR="00927DC5" w:rsidRPr="005365AA" w14:paraId="4B914858" w14:textId="77777777" w:rsidTr="0752BA49">
        <w:trPr>
          <w:trHeight w:val="300"/>
        </w:trPr>
        <w:tc>
          <w:tcPr>
            <w:tcW w:w="2745" w:type="dxa"/>
            <w:hideMark/>
          </w:tcPr>
          <w:p w14:paraId="1044745E"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6317" w:type="dxa"/>
          </w:tcPr>
          <w:p w14:paraId="44CAE4A1" w14:textId="11A53B8C" w:rsidR="723C9DD8" w:rsidRDefault="43130E9E"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physical activity; wearable technology; schools; children.</w:t>
            </w:r>
          </w:p>
        </w:tc>
      </w:tr>
      <w:tr w:rsidR="00927DC5" w:rsidRPr="005365AA" w14:paraId="6B1AC380" w14:textId="77777777" w:rsidTr="0752BA49">
        <w:trPr>
          <w:trHeight w:val="300"/>
        </w:trPr>
        <w:tc>
          <w:tcPr>
            <w:tcW w:w="2745" w:type="dxa"/>
            <w:hideMark/>
          </w:tcPr>
          <w:p w14:paraId="1F913F72"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6317" w:type="dxa"/>
          </w:tcPr>
          <w:p w14:paraId="0A054736" w14:textId="734C515F" w:rsidR="44B465B8" w:rsidRDefault="351A5E43"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Istraživanje se</w:t>
            </w:r>
            <w:r w:rsidRPr="0752BA49">
              <w:rPr>
                <w:rFonts w:eastAsiaTheme="minorEastAsia"/>
                <w:i/>
                <w:iCs/>
                <w:color w:val="000000" w:themeColor="text1"/>
                <w:sz w:val="18"/>
                <w:szCs w:val="18"/>
              </w:rPr>
              <w:t xml:space="preserve"> </w:t>
            </w:r>
            <w:r w:rsidRPr="0752BA49">
              <w:rPr>
                <w:rFonts w:eastAsiaTheme="minorEastAsia"/>
                <w:color w:val="000000" w:themeColor="text1"/>
                <w:sz w:val="18"/>
                <w:szCs w:val="18"/>
              </w:rPr>
              <w:t>bavi načinom na koji učenici osnovne škole doživljavaju i koriste nosive tehnologije (npr. pametne satove i fitness trackere). Cilj je bio razumjeti dječje percepcije, iskustva, motivaciju i potencijalne prepreke u korištenju wearablesa, osobito u kontekstu praćenja tjelesne aktivnosti, zdravlja i svakodnevnih navika.</w:t>
            </w:r>
          </w:p>
        </w:tc>
      </w:tr>
      <w:tr w:rsidR="00927DC5" w:rsidRPr="005365AA" w14:paraId="6B546539" w14:textId="77777777" w:rsidTr="0752BA49">
        <w:trPr>
          <w:trHeight w:val="300"/>
        </w:trPr>
        <w:tc>
          <w:tcPr>
            <w:tcW w:w="2745" w:type="dxa"/>
            <w:hideMark/>
          </w:tcPr>
          <w:p w14:paraId="7CCAF18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10A15F0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317" w:type="dxa"/>
          </w:tcPr>
          <w:p w14:paraId="7CC87906" w14:textId="3CB7DE81" w:rsidR="65D444D2" w:rsidRDefault="0682E360"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Djeca uglavnom imaju pozitivan stav prema nosivim tehnologijama i doživljavaju ih kao zanimljive, korisne i motivirajuće.</w:t>
            </w:r>
          </w:p>
          <w:p w14:paraId="24B5EE59" w14:textId="7A4E3CF7" w:rsidR="65D444D2" w:rsidRDefault="0682E360"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Wearables potiču svijest o tjelesnoj aktivnosti, kretanju i zdravim navikama (npr. koraci, kretanje tijekom dana).</w:t>
            </w:r>
          </w:p>
          <w:p w14:paraId="13DAC902" w14:textId="46A8A5E5" w:rsidR="65D444D2" w:rsidRDefault="0682E360"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Učenici pokazuju ograničeno razumijevanje podataka koje uređaji prikupljaju (npr. značenje mjerenja, interpretacija rezultata), što upućuje na nižu razinu zdravstvene i digitalne pismenosti.</w:t>
            </w:r>
          </w:p>
          <w:p w14:paraId="707C9607" w14:textId="123489D1" w:rsidR="65D444D2" w:rsidRDefault="0682E360"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Motivacija za korištenje često je ekstrinzična (igre, bodovi, usporedba s drugima), dok je refleksija o zdravlju rjeđa bez dodatne podrške odraslih.</w:t>
            </w:r>
          </w:p>
          <w:p w14:paraId="6AB07AC7" w14:textId="5D0B8E9B" w:rsidR="65D444D2" w:rsidRDefault="0682E360" w:rsidP="0752BA49">
            <w:pPr>
              <w:spacing w:after="0" w:line="240" w:lineRule="auto"/>
              <w:rPr>
                <w:rFonts w:eastAsiaTheme="minorEastAsia"/>
                <w:color w:val="000000" w:themeColor="text1"/>
                <w:sz w:val="18"/>
                <w:szCs w:val="18"/>
              </w:rPr>
            </w:pPr>
            <w:r w:rsidRPr="0752BA49">
              <w:rPr>
                <w:rFonts w:eastAsiaTheme="minorEastAsia"/>
                <w:color w:val="000000" w:themeColor="text1"/>
                <w:sz w:val="18"/>
                <w:szCs w:val="18"/>
              </w:rPr>
              <w:t>Neki učenici izražavaju zabrinutosti vezane uz točnost mjerenja, udobnost i pravila korištenja u školi.</w:t>
            </w:r>
          </w:p>
        </w:tc>
      </w:tr>
      <w:tr w:rsidR="00927DC5" w:rsidRPr="005365AA" w14:paraId="38B7A9F7" w14:textId="77777777" w:rsidTr="0752BA49">
        <w:trPr>
          <w:trHeight w:val="300"/>
        </w:trPr>
        <w:tc>
          <w:tcPr>
            <w:tcW w:w="2745" w:type="dxa"/>
            <w:hideMark/>
          </w:tcPr>
          <w:p w14:paraId="1FBC1EB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0EF21DD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317" w:type="dxa"/>
          </w:tcPr>
          <w:p w14:paraId="1267E936" w14:textId="321668A5" w:rsidR="723C9DD8" w:rsidRDefault="43130E9E" w:rsidP="0752BA49">
            <w:pPr>
              <w:spacing w:before="240" w:after="240"/>
              <w:rPr>
                <w:rFonts w:eastAsiaTheme="minorEastAsia"/>
                <w:color w:val="000000" w:themeColor="text1"/>
                <w:sz w:val="18"/>
                <w:szCs w:val="18"/>
                <w:lang w:val="en-US"/>
              </w:rPr>
            </w:pPr>
            <w:r w:rsidRPr="0752BA49">
              <w:rPr>
                <w:rFonts w:eastAsiaTheme="minorEastAsia"/>
                <w:color w:val="000000" w:themeColor="text1"/>
                <w:sz w:val="18"/>
                <w:szCs w:val="18"/>
              </w:rPr>
              <w:t>Istraživanje pruža važne uvide u to kako mladi doživljavaju praćenje tjelesne aktivnosti i zdravlja te koje su granice samog mjerenja bez dodatne edukativne podrške. Rezultati pokazuju da nosive tehnologije mogu povećati svjesnost o kretanju i zdravlju, ali djeca često ne razumiju značenje prikupljenih podataka niti ih povezuju s vlastitom dobrobiti, što upućuje na potrebu za sustavnim razvojem tjelesne i mentalno-zdravstvene pismenosti.</w:t>
            </w:r>
          </w:p>
          <w:p w14:paraId="6EC8E46B" w14:textId="1FAFA80A" w:rsidR="723C9DD8" w:rsidRDefault="43130E9E" w:rsidP="0752BA49">
            <w:pPr>
              <w:spacing w:before="240" w:after="240"/>
              <w:rPr>
                <w:rFonts w:eastAsiaTheme="minorEastAsia"/>
                <w:color w:val="000000" w:themeColor="text1"/>
                <w:sz w:val="18"/>
                <w:szCs w:val="18"/>
                <w:lang w:val="en-US"/>
              </w:rPr>
            </w:pPr>
            <w:r w:rsidRPr="0752BA49">
              <w:rPr>
                <w:rFonts w:eastAsiaTheme="minorEastAsia"/>
                <w:color w:val="000000" w:themeColor="text1"/>
                <w:sz w:val="18"/>
                <w:szCs w:val="18"/>
              </w:rPr>
              <w:t>Nadalje, istraživanje ističe važnost psiholoških i kontekstualnih čimbenika u korištenju tehnologije, poput motivacije, osjećaja autonomije te zabrinutosti vezanih uz nošenje i udobnost uređaja. Ovi nalazi naglašavaju da intervencije usmjerene na tjelesnu aktivnost trebaju istodobno uzimati u obzir emocionalne reakcije i subjektivna iskustva djece kako bi se izbjegao pritisak, uspoređivanje i potencijalni negativni učinci na mentalno zdravlje.</w:t>
            </w:r>
          </w:p>
          <w:p w14:paraId="76E53F31" w14:textId="2904D775" w:rsidR="723C9DD8" w:rsidRDefault="43130E9E" w:rsidP="0752BA49">
            <w:pPr>
              <w:spacing w:before="240" w:after="240"/>
              <w:rPr>
                <w:rFonts w:eastAsiaTheme="minorEastAsia"/>
                <w:color w:val="000000" w:themeColor="text1"/>
                <w:sz w:val="18"/>
                <w:szCs w:val="18"/>
                <w:lang w:val="en-US"/>
              </w:rPr>
            </w:pPr>
            <w:r w:rsidRPr="0752BA49">
              <w:rPr>
                <w:rFonts w:eastAsiaTheme="minorEastAsia"/>
                <w:color w:val="000000" w:themeColor="text1"/>
                <w:sz w:val="18"/>
                <w:szCs w:val="18"/>
              </w:rPr>
              <w:t>Istraživanje također ukazuje da tehnologija može imati edukativnu vrijednost samo ako je integrirana u strukturirane, razvojno osjetljive intervencije koje potiču razumijevanje, refleksiju i smisleno korištenje podataka. Time se pruža snažna empirijska podloga za razvoj intervencija, instrumenata i edukativnih materijala koji tehnologiju koriste kao alat za osnaživanje djece i adolescenata, a ne isključivo za praćenje performansa.</w:t>
            </w:r>
          </w:p>
        </w:tc>
      </w:tr>
      <w:tr w:rsidR="00927DC5" w:rsidRPr="005365AA" w14:paraId="36FF22B6" w14:textId="77777777" w:rsidTr="0752BA49">
        <w:trPr>
          <w:trHeight w:val="300"/>
        </w:trPr>
        <w:tc>
          <w:tcPr>
            <w:tcW w:w="2745" w:type="dxa"/>
            <w:hideMark/>
          </w:tcPr>
          <w:p w14:paraId="79002D49"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6317" w:type="dxa"/>
          </w:tcPr>
          <w:p w14:paraId="16D65171"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71E746F9" w14:textId="74E35E9B" w:rsidR="00927DC5" w:rsidRDefault="00927DC5" w:rsidP="005365AA"/>
    <w:p w14:paraId="51B14CE1" w14:textId="19DF3539" w:rsidR="00927DC5" w:rsidRDefault="00927DC5"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7"/>
        <w:gridCol w:w="6645"/>
      </w:tblGrid>
      <w:tr w:rsidR="00927DC5" w:rsidRPr="005365AA" w14:paraId="0B74E02B" w14:textId="77777777" w:rsidTr="0752BA49">
        <w:trPr>
          <w:trHeight w:val="300"/>
        </w:trPr>
        <w:tc>
          <w:tcPr>
            <w:tcW w:w="3315" w:type="dxa"/>
            <w:hideMark/>
          </w:tcPr>
          <w:p w14:paraId="402FCAED" w14:textId="771EDEAB"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0488B42D" w14:textId="2B947B16" w:rsidR="00927DC5" w:rsidRPr="005365AA" w:rsidRDefault="4AC45B70" w:rsidP="0752BA49">
            <w:pPr>
              <w:spacing w:after="0" w:line="240" w:lineRule="auto"/>
              <w:textAlignment w:val="baseline"/>
              <w:rPr>
                <w:rFonts w:eastAsiaTheme="minorEastAsia"/>
                <w:b/>
                <w:bCs/>
                <w:sz w:val="18"/>
                <w:szCs w:val="18"/>
                <w:lang w:val="en-US"/>
              </w:rPr>
            </w:pPr>
            <w:r w:rsidRPr="0752BA49">
              <w:rPr>
                <w:rFonts w:eastAsiaTheme="minorEastAsia"/>
                <w:sz w:val="18"/>
                <w:szCs w:val="18"/>
                <w:lang w:val="en-US"/>
              </w:rPr>
              <w:t xml:space="preserve">Zhang, W., Xiong, K., Zhu, C., Evans, R., Zhou, L., &amp; Podrini, C. (2024). Promoting child and adolescent health through wearable technology: A systematic review. </w:t>
            </w:r>
            <w:r w:rsidRPr="0752BA49">
              <w:rPr>
                <w:rFonts w:eastAsiaTheme="minorEastAsia"/>
                <w:i/>
                <w:iCs/>
                <w:sz w:val="18"/>
                <w:szCs w:val="18"/>
                <w:lang w:val="en-US"/>
              </w:rPr>
              <w:t>Digital health</w:t>
            </w:r>
            <w:r w:rsidRPr="0752BA49">
              <w:rPr>
                <w:rFonts w:eastAsiaTheme="minorEastAsia"/>
                <w:sz w:val="18"/>
                <w:szCs w:val="18"/>
                <w:lang w:val="en-US"/>
              </w:rPr>
              <w:t xml:space="preserve">, </w:t>
            </w:r>
            <w:r w:rsidRPr="0752BA49">
              <w:rPr>
                <w:rFonts w:eastAsiaTheme="minorEastAsia"/>
                <w:i/>
                <w:iCs/>
                <w:sz w:val="18"/>
                <w:szCs w:val="18"/>
                <w:lang w:val="en-US"/>
              </w:rPr>
              <w:t>10</w:t>
            </w:r>
            <w:r w:rsidRPr="0752BA49">
              <w:rPr>
                <w:rFonts w:eastAsiaTheme="minorEastAsia"/>
                <w:sz w:val="18"/>
                <w:szCs w:val="18"/>
                <w:lang w:val="en-US"/>
              </w:rPr>
              <w:t>, 20552076241260507. https://doi.org/10.1177/20552076241260507</w:t>
            </w:r>
          </w:p>
        </w:tc>
      </w:tr>
      <w:tr w:rsidR="00927DC5" w:rsidRPr="005365AA" w14:paraId="3E8E7CB4" w14:textId="77777777" w:rsidTr="0752BA49">
        <w:trPr>
          <w:trHeight w:val="300"/>
        </w:trPr>
        <w:tc>
          <w:tcPr>
            <w:tcW w:w="3315" w:type="dxa"/>
            <w:hideMark/>
          </w:tcPr>
          <w:p w14:paraId="1DC87F7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2FCF4B74" w14:textId="49B55384" w:rsidR="00927DC5" w:rsidRPr="005365AA" w:rsidRDefault="77248D7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https://pmc.ncbi.nlm.nih.gov/articles/PMC11168039/</w:t>
            </w:r>
          </w:p>
        </w:tc>
      </w:tr>
      <w:tr w:rsidR="00927DC5" w:rsidRPr="005365AA" w14:paraId="4BC5EF2A" w14:textId="77777777" w:rsidTr="0752BA49">
        <w:trPr>
          <w:trHeight w:val="300"/>
        </w:trPr>
        <w:tc>
          <w:tcPr>
            <w:tcW w:w="3315" w:type="dxa"/>
            <w:hideMark/>
          </w:tcPr>
          <w:p w14:paraId="7B52DDE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3516EE6F" w14:textId="3135C4AD" w:rsidR="00927DC5" w:rsidRPr="005365AA" w:rsidRDefault="2D0CB2B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Mjerenje tjelesne aktivnosti</w:t>
            </w:r>
          </w:p>
        </w:tc>
      </w:tr>
      <w:tr w:rsidR="00927DC5" w:rsidRPr="005365AA" w14:paraId="02ED3E50" w14:textId="77777777" w:rsidTr="0752BA49">
        <w:trPr>
          <w:trHeight w:val="300"/>
        </w:trPr>
        <w:tc>
          <w:tcPr>
            <w:tcW w:w="3315" w:type="dxa"/>
          </w:tcPr>
          <w:p w14:paraId="03750C1B"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3C5E2639" w14:textId="28E50752" w:rsidR="00927DC5" w:rsidRPr="005365AA" w:rsidRDefault="4B907D68"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Jelena Gerjević</w:t>
            </w:r>
          </w:p>
        </w:tc>
      </w:tr>
      <w:tr w:rsidR="00927DC5" w:rsidRPr="005365AA" w14:paraId="65C443FD" w14:textId="77777777" w:rsidTr="0752BA49">
        <w:trPr>
          <w:trHeight w:val="300"/>
        </w:trPr>
        <w:tc>
          <w:tcPr>
            <w:tcW w:w="3315" w:type="dxa"/>
            <w:hideMark/>
          </w:tcPr>
          <w:p w14:paraId="627C423A"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540589A2"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37DDF2B"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3EE7743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5062956F"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130976C2" w14:textId="79CE9C2F" w:rsidR="723C9DD8" w:rsidRDefault="723C9DD8" w:rsidP="0752BA49">
            <w:pPr>
              <w:spacing w:after="0" w:line="240" w:lineRule="exact"/>
              <w:rPr>
                <w:rFonts w:eastAsiaTheme="minorEastAsia"/>
                <w:b/>
                <w:bCs/>
                <w:color w:val="4472C4" w:themeColor="accent1"/>
                <w:sz w:val="18"/>
                <w:szCs w:val="18"/>
                <w:lang w:eastAsia="hr-HR"/>
              </w:rPr>
            </w:pPr>
          </w:p>
          <w:p w14:paraId="710B9E49" w14:textId="3C99DDEE" w:rsidR="00927DC5" w:rsidRPr="005365AA" w:rsidRDefault="4FFEB1E7"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r w:rsidR="36CEDA98" w:rsidRPr="0752BA49">
              <w:rPr>
                <w:rFonts w:eastAsiaTheme="minorEastAsia"/>
                <w:b/>
                <w:bCs/>
                <w:color w:val="4472C4" w:themeColor="accent1"/>
                <w:sz w:val="18"/>
                <w:szCs w:val="18"/>
                <w:lang w:eastAsia="hr-HR"/>
              </w:rPr>
              <w:t>3</w:t>
            </w:r>
          </w:p>
        </w:tc>
      </w:tr>
      <w:tr w:rsidR="00927DC5" w:rsidRPr="005365AA" w14:paraId="4A5D88B0" w14:textId="77777777" w:rsidTr="0752BA49">
        <w:trPr>
          <w:trHeight w:val="300"/>
        </w:trPr>
        <w:tc>
          <w:tcPr>
            <w:tcW w:w="3315" w:type="dxa"/>
            <w:hideMark/>
          </w:tcPr>
          <w:p w14:paraId="35712949"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5149B05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35A82C6D" w14:textId="7B3E24D9"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val="en-US" w:eastAsia="hr-HR"/>
              </w:rPr>
              <w:t>Background</w:t>
            </w:r>
            <w:r w:rsidRPr="0752BA49">
              <w:rPr>
                <w:rFonts w:eastAsiaTheme="minorEastAsia"/>
                <w:sz w:val="18"/>
                <w:szCs w:val="18"/>
                <w:lang w:val="en-US" w:eastAsia="hr-HR"/>
              </w:rPr>
              <w:t xml:space="preserve">: Wearable technology is used in healthcare to monitor the health of individuals. This study presents an updated systematic literature review of the use of wearable technology in promoting child and adolescent health, accompanied by </w:t>
            </w:r>
            <w:r w:rsidRPr="0752BA49">
              <w:rPr>
                <w:rFonts w:eastAsiaTheme="minorEastAsia"/>
                <w:sz w:val="18"/>
                <w:szCs w:val="18"/>
                <w:lang w:eastAsia="hr-HR"/>
              </w:rPr>
              <w:t>recommendations for future research.</w:t>
            </w:r>
          </w:p>
          <w:p w14:paraId="30B98672" w14:textId="4FEBC003" w:rsidR="00927DC5" w:rsidRPr="005365AA" w:rsidRDefault="78CD9F29" w:rsidP="0752BA49">
            <w:pPr>
              <w:spacing w:after="0" w:line="240" w:lineRule="auto"/>
              <w:textAlignment w:val="baseline"/>
              <w:rPr>
                <w:rFonts w:eastAsiaTheme="minorEastAsia"/>
                <w:sz w:val="18"/>
                <w:szCs w:val="18"/>
                <w:lang w:val="en-US" w:eastAsia="hr-HR"/>
              </w:rPr>
            </w:pPr>
            <w:r w:rsidRPr="0752BA49">
              <w:rPr>
                <w:rFonts w:eastAsiaTheme="minorEastAsia"/>
                <w:b/>
                <w:bCs/>
                <w:sz w:val="18"/>
                <w:szCs w:val="18"/>
                <w:lang w:val="en-US" w:eastAsia="hr-HR"/>
              </w:rPr>
              <w:t>Methods</w:t>
            </w:r>
            <w:r w:rsidRPr="0752BA49">
              <w:rPr>
                <w:rFonts w:eastAsiaTheme="minorEastAsia"/>
                <w:sz w:val="18"/>
                <w:szCs w:val="18"/>
                <w:lang w:val="en-US" w:eastAsia="hr-HR"/>
              </w:rPr>
              <w:t>: This review focuses on studies involving children and adolescents aged between 2 and 18 years, regardless of their health condition or disabilities. Studies that were published from 2016 to 2024, and which met the inclusion criteria, were extracted from four academic databases (i.e. PubMed, Cochrane, Embase, and Web of Science) using the Preferred</w:t>
            </w:r>
          </w:p>
          <w:p w14:paraId="2FECB023" w14:textId="4D940C4A"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Reporting Items for Systematic Review and Meta-Analyses (PRISMA) protocol. Data on intervention purposes, interventions deployed, intervention duration, measurements, and the main outcomes of the studies were collected.</w:t>
            </w:r>
          </w:p>
          <w:p w14:paraId="37564E3A" w14:textId="18EDB034"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Results</w:t>
            </w:r>
            <w:r w:rsidRPr="0752BA49">
              <w:rPr>
                <w:rFonts w:eastAsiaTheme="minorEastAsia"/>
                <w:sz w:val="18"/>
                <w:szCs w:val="18"/>
                <w:lang w:eastAsia="hr-HR"/>
              </w:rPr>
              <w:t xml:space="preserve">: A total of 53 studies involving 14,852 participants were reviewed. They focused on various aspects, including the ownership </w:t>
            </w:r>
            <w:r w:rsidRPr="0752BA49">
              <w:rPr>
                <w:rFonts w:eastAsiaTheme="minorEastAsia"/>
                <w:sz w:val="18"/>
                <w:szCs w:val="18"/>
                <w:lang w:val="en-US" w:eastAsia="hr-HR"/>
              </w:rPr>
              <w:t xml:space="preserve">and use of wearable devices (n=3), the feasibility (n=22), effectiveness (n=4), and adherence (n=2) of intervention strategies, or a combination ofmultiple aspects (n=22). Among the interventions deployed, Fitbit was the most frequently used, featuring in 26 studies, </w:t>
            </w:r>
            <w:r w:rsidRPr="0752BA49">
              <w:rPr>
                <w:rFonts w:eastAsiaTheme="minorEastAsia"/>
                <w:sz w:val="18"/>
                <w:szCs w:val="18"/>
                <w:lang w:eastAsia="hr-HR"/>
              </w:rPr>
              <w:t>followed by ActiGraph (n=11). In intervention studies, the majority of studies focused on pre-morbidity prevention (n=26) and</w:t>
            </w:r>
            <w:r w:rsidR="6D54FC11" w:rsidRPr="0752BA49">
              <w:rPr>
                <w:rFonts w:eastAsiaTheme="minorEastAsia"/>
                <w:sz w:val="18"/>
                <w:szCs w:val="18"/>
                <w:lang w:eastAsia="hr-HR"/>
              </w:rPr>
              <w:t xml:space="preserve"> </w:t>
            </w:r>
            <w:r w:rsidRPr="0752BA49">
              <w:rPr>
                <w:rFonts w:eastAsiaTheme="minorEastAsia"/>
                <w:sz w:val="18"/>
                <w:szCs w:val="18"/>
                <w:lang w:eastAsia="hr-HR"/>
              </w:rPr>
              <w:t>the treatment of illnesses (n=20), with limited attention given to postoperative monitoring (n=4).</w:t>
            </w:r>
          </w:p>
          <w:p w14:paraId="5C892DC8" w14:textId="05A9BDC7"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val="en-US" w:eastAsia="hr-HR"/>
              </w:rPr>
              <w:t>Conclusions</w:t>
            </w:r>
            <w:r w:rsidRPr="0752BA49">
              <w:rPr>
                <w:rFonts w:eastAsiaTheme="minorEastAsia"/>
                <w:sz w:val="18"/>
                <w:szCs w:val="18"/>
                <w:lang w:val="en-US" w:eastAsia="hr-HR"/>
              </w:rPr>
              <w:t xml:space="preserve">: The use of wearable technology by children and adolescents has proven to be both feasible and effective for health promotion. This systematic review summarizes existing research by exploring the use of wearable technology in promoting </w:t>
            </w:r>
            <w:r w:rsidRPr="0752BA49">
              <w:rPr>
                <w:rFonts w:eastAsiaTheme="minorEastAsia"/>
                <w:sz w:val="18"/>
                <w:szCs w:val="18"/>
                <w:lang w:eastAsia="hr-HR"/>
              </w:rPr>
              <w:t>health across diverse youth populations, including healthy and unhealthy individuals. It examines health promotion</w:t>
            </w:r>
          </w:p>
          <w:p w14:paraId="1BF70C45" w14:textId="2D8BE5AF"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at various stages of the disease continuum, including pre-disease prevention, in-disease treatment, and postoperative monitoring.</w:t>
            </w:r>
          </w:p>
          <w:p w14:paraId="12FE8C6A" w14:textId="5A606DA0" w:rsidR="00927DC5" w:rsidRPr="005365AA" w:rsidRDefault="78CD9F2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Additionally, the review provides directions for future research.</w:t>
            </w:r>
          </w:p>
        </w:tc>
      </w:tr>
      <w:tr w:rsidR="00927DC5" w:rsidRPr="005365AA" w14:paraId="751442F5" w14:textId="77777777" w:rsidTr="0752BA49">
        <w:trPr>
          <w:trHeight w:val="300"/>
        </w:trPr>
        <w:tc>
          <w:tcPr>
            <w:tcW w:w="3315" w:type="dxa"/>
            <w:hideMark/>
          </w:tcPr>
          <w:p w14:paraId="01519B0A"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32B56C9B" w14:textId="0E3C66D2" w:rsidR="00927DC5" w:rsidRPr="005365AA" w:rsidRDefault="12398A58"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wearable technology, children and adolescents, health promotion, systematic review</w:t>
            </w:r>
          </w:p>
        </w:tc>
      </w:tr>
      <w:tr w:rsidR="00927DC5" w:rsidRPr="005365AA" w14:paraId="304546CF" w14:textId="77777777" w:rsidTr="0752BA49">
        <w:trPr>
          <w:trHeight w:val="300"/>
        </w:trPr>
        <w:tc>
          <w:tcPr>
            <w:tcW w:w="3315" w:type="dxa"/>
            <w:hideMark/>
          </w:tcPr>
          <w:p w14:paraId="2559B5BE"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7D9DF823" w14:textId="21A170CD" w:rsidR="00927DC5" w:rsidRPr="005365AA" w:rsidRDefault="5DCE352B" w:rsidP="0752BA49">
            <w:pPr>
              <w:spacing w:after="0" w:line="240" w:lineRule="auto"/>
              <w:textAlignment w:val="baseline"/>
              <w:rPr>
                <w:rFonts w:eastAsiaTheme="minorEastAsia"/>
                <w:sz w:val="18"/>
                <w:szCs w:val="18"/>
              </w:rPr>
            </w:pPr>
            <w:r w:rsidRPr="0752BA49">
              <w:rPr>
                <w:rFonts w:eastAsiaTheme="minorEastAsia"/>
                <w:sz w:val="18"/>
                <w:szCs w:val="18"/>
              </w:rPr>
              <w:t>Sustavni pregled istraživanja koja su ispitivala primjenu nosivih tehnologija u promicanju zdravlja djece i adolescenata. Fokus je na učincima wearablesa na tjelesnu aktivnost, zdravstvena ponašanja, motivaciju te šire aspekte dobrobiti, uz analizu vrsta intervencija, trajanja, metodološke kvalitete i ograničenja postojećih studija.</w:t>
            </w:r>
          </w:p>
        </w:tc>
      </w:tr>
      <w:tr w:rsidR="00927DC5" w:rsidRPr="005365AA" w14:paraId="38B9B0F6" w14:textId="77777777" w:rsidTr="0752BA49">
        <w:trPr>
          <w:trHeight w:val="300"/>
        </w:trPr>
        <w:tc>
          <w:tcPr>
            <w:tcW w:w="3315" w:type="dxa"/>
            <w:hideMark/>
          </w:tcPr>
          <w:p w14:paraId="6CBA42D8"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40A35BE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243BD80F" w14:textId="38FFA688" w:rsidR="00927DC5" w:rsidRPr="005365AA" w:rsidRDefault="77F66DA8" w:rsidP="0752BA49">
            <w:pPr>
              <w:pStyle w:val="Odlomakpopisa"/>
              <w:numPr>
                <w:ilvl w:val="0"/>
                <w:numId w:val="9"/>
              </w:numPr>
              <w:spacing w:before="240" w:after="240" w:line="240" w:lineRule="auto"/>
              <w:textAlignment w:val="baseline"/>
              <w:rPr>
                <w:rFonts w:eastAsiaTheme="minorEastAsia"/>
                <w:sz w:val="18"/>
                <w:szCs w:val="18"/>
              </w:rPr>
            </w:pPr>
            <w:r w:rsidRPr="0752BA49">
              <w:rPr>
                <w:rFonts w:eastAsiaTheme="minorEastAsia"/>
                <w:sz w:val="18"/>
                <w:szCs w:val="18"/>
              </w:rPr>
              <w:t>Nosive tehnologije mogu imati pozitivan učinak na razinu tjelesne aktivnosti, osobito u kratkoročnim i strukturiranim intervencijama.</w:t>
            </w:r>
          </w:p>
          <w:p w14:paraId="4909932D" w14:textId="43475054" w:rsidR="00927DC5" w:rsidRPr="005365AA" w:rsidRDefault="77F66DA8" w:rsidP="0752BA49">
            <w:pPr>
              <w:pStyle w:val="Odlomakpopisa"/>
              <w:numPr>
                <w:ilvl w:val="0"/>
                <w:numId w:val="9"/>
              </w:numPr>
              <w:spacing w:before="240" w:after="240" w:line="240" w:lineRule="auto"/>
              <w:textAlignment w:val="baseline"/>
              <w:rPr>
                <w:rFonts w:eastAsiaTheme="minorEastAsia"/>
                <w:sz w:val="18"/>
                <w:szCs w:val="18"/>
              </w:rPr>
            </w:pPr>
            <w:r w:rsidRPr="0752BA49">
              <w:rPr>
                <w:rFonts w:eastAsiaTheme="minorEastAsia"/>
                <w:sz w:val="18"/>
                <w:szCs w:val="18"/>
              </w:rPr>
              <w:t>Učinci su varijabilni i često ograničenog trajanja, što upućuje na problem održivosti promjena ponašanja.</w:t>
            </w:r>
          </w:p>
          <w:p w14:paraId="6579B604" w14:textId="1F0C5B6B" w:rsidR="00927DC5" w:rsidRPr="005365AA" w:rsidRDefault="77F66DA8" w:rsidP="0752BA49">
            <w:pPr>
              <w:pStyle w:val="Odlomakpopisa"/>
              <w:numPr>
                <w:ilvl w:val="0"/>
                <w:numId w:val="9"/>
              </w:numPr>
              <w:spacing w:before="240" w:after="240" w:line="240" w:lineRule="auto"/>
              <w:textAlignment w:val="baseline"/>
              <w:rPr>
                <w:rFonts w:eastAsiaTheme="minorEastAsia"/>
                <w:b/>
                <w:bCs/>
                <w:sz w:val="18"/>
                <w:szCs w:val="18"/>
              </w:rPr>
            </w:pPr>
            <w:r w:rsidRPr="0752BA49">
              <w:rPr>
                <w:rFonts w:eastAsiaTheme="minorEastAsia"/>
                <w:b/>
                <w:bCs/>
                <w:sz w:val="18"/>
                <w:szCs w:val="18"/>
              </w:rPr>
              <w:t>Intervencije koje kombiniraju wearables s edukacijom, ciljevima, povratnom informacijom i podrškom okoline pokazuju bolje rezultate od samostalnog korištenja tehnologije.</w:t>
            </w:r>
          </w:p>
          <w:p w14:paraId="0CB1E112" w14:textId="67011AF3" w:rsidR="00927DC5" w:rsidRPr="005365AA" w:rsidRDefault="77F66DA8" w:rsidP="0752BA49">
            <w:pPr>
              <w:pStyle w:val="Odlomakpopisa"/>
              <w:numPr>
                <w:ilvl w:val="0"/>
                <w:numId w:val="9"/>
              </w:numPr>
              <w:spacing w:before="240" w:after="240" w:line="240" w:lineRule="auto"/>
              <w:textAlignment w:val="baseline"/>
              <w:rPr>
                <w:rFonts w:eastAsiaTheme="minorEastAsia"/>
                <w:b/>
                <w:bCs/>
                <w:sz w:val="18"/>
                <w:szCs w:val="18"/>
              </w:rPr>
            </w:pPr>
            <w:r w:rsidRPr="0752BA49">
              <w:rPr>
                <w:rFonts w:eastAsiaTheme="minorEastAsia"/>
                <w:b/>
                <w:bCs/>
                <w:sz w:val="18"/>
                <w:szCs w:val="18"/>
              </w:rPr>
              <w:t>Većina istraživanja fokusirana je primarno na tjelesne ishode, dok su mentalno zdravlje, psihološka dobrobit i pismenost rjeđe sustavno obrađeni.</w:t>
            </w:r>
          </w:p>
          <w:p w14:paraId="56092ABE" w14:textId="1E9E104B" w:rsidR="00927DC5" w:rsidRPr="005365AA" w:rsidRDefault="77F66DA8" w:rsidP="0752BA49">
            <w:pPr>
              <w:pStyle w:val="Odlomakpopisa"/>
              <w:numPr>
                <w:ilvl w:val="0"/>
                <w:numId w:val="9"/>
              </w:numPr>
              <w:spacing w:before="240" w:after="240" w:line="240" w:lineRule="auto"/>
              <w:textAlignment w:val="baseline"/>
              <w:rPr>
                <w:rFonts w:eastAsiaTheme="minorEastAsia"/>
                <w:sz w:val="18"/>
                <w:szCs w:val="18"/>
              </w:rPr>
            </w:pPr>
            <w:r w:rsidRPr="0752BA49">
              <w:rPr>
                <w:rFonts w:eastAsiaTheme="minorEastAsia"/>
                <w:sz w:val="18"/>
                <w:szCs w:val="18"/>
              </w:rPr>
              <w:t>Uočeni su metodološki izazovi: heterogenost mjera, kratko trajanje intervencija i nedostatak teorijskog utemeljenja.</w:t>
            </w:r>
          </w:p>
        </w:tc>
      </w:tr>
      <w:tr w:rsidR="00927DC5" w:rsidRPr="005365AA" w14:paraId="12773D80" w14:textId="77777777" w:rsidTr="0752BA49">
        <w:trPr>
          <w:trHeight w:val="300"/>
        </w:trPr>
        <w:tc>
          <w:tcPr>
            <w:tcW w:w="3315" w:type="dxa"/>
            <w:hideMark/>
          </w:tcPr>
          <w:p w14:paraId="46C6A376"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4D79B464"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10A47F4" w14:textId="46605104" w:rsidR="00927DC5" w:rsidRPr="005365AA" w:rsidRDefault="026EBE3E" w:rsidP="0752BA49">
            <w:pPr>
              <w:spacing w:after="0" w:line="240" w:lineRule="auto"/>
              <w:textAlignment w:val="baseline"/>
              <w:rPr>
                <w:rFonts w:eastAsiaTheme="minorEastAsia"/>
                <w:sz w:val="18"/>
                <w:szCs w:val="18"/>
              </w:rPr>
            </w:pPr>
            <w:r w:rsidRPr="0752BA49">
              <w:rPr>
                <w:rFonts w:eastAsiaTheme="minorEastAsia"/>
                <w:sz w:val="18"/>
                <w:szCs w:val="18"/>
              </w:rPr>
              <w:t>Rad jasno pokazuje da nosive tehnologije mogu imati pozitivan, ali često kratkotrajan učinak na tjelesnu aktivnost djece i adolescenata te da same po sebi nisu dovoljne za održive promjene ponašanja. Učinkovitost wearablesa ovisi o njihovoj integraciji u strukturirane, edukativne i teorijski utemeljene intervencije. Time rad pruža snažnu znanstvenu podlogu za razvoj intervencija koje istovremeno ciljaju tjelesnu i mentalno-zdravstvenu pismenost te naglašava potrebu za širim, interdisciplinarnim pristupom promicanju zdravlja mladih.</w:t>
            </w:r>
          </w:p>
        </w:tc>
      </w:tr>
      <w:tr w:rsidR="00927DC5" w:rsidRPr="005365AA" w14:paraId="0D8FE4B4" w14:textId="77777777" w:rsidTr="0752BA49">
        <w:trPr>
          <w:trHeight w:val="300"/>
        </w:trPr>
        <w:tc>
          <w:tcPr>
            <w:tcW w:w="3315" w:type="dxa"/>
            <w:hideMark/>
          </w:tcPr>
          <w:p w14:paraId="037F1386"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3D1C9BC0"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23098B40" w14:textId="64457999" w:rsidR="00927DC5" w:rsidRDefault="00927DC5" w:rsidP="005365AA"/>
    <w:p w14:paraId="5856C2DD" w14:textId="137E81CA" w:rsidR="00927DC5" w:rsidRDefault="00927DC5" w:rsidP="005365A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6227"/>
      </w:tblGrid>
      <w:tr w:rsidR="00927DC5" w:rsidRPr="005365AA" w14:paraId="27CFEEB0" w14:textId="77777777" w:rsidTr="0752BA49">
        <w:trPr>
          <w:trHeight w:val="300"/>
        </w:trPr>
        <w:tc>
          <w:tcPr>
            <w:tcW w:w="2835" w:type="dxa"/>
            <w:hideMark/>
          </w:tcPr>
          <w:p w14:paraId="4BBA3B26" w14:textId="357C0C0E"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6227" w:type="dxa"/>
          </w:tcPr>
          <w:p w14:paraId="427BF0C1" w14:textId="14106BC5" w:rsidR="00927DC5" w:rsidRPr="005365AA" w:rsidRDefault="000B5A5D" w:rsidP="0752BA49">
            <w:pPr>
              <w:spacing w:after="0" w:line="240" w:lineRule="auto"/>
              <w:textAlignment w:val="baseline"/>
              <w:rPr>
                <w:rFonts w:eastAsiaTheme="minorEastAsia"/>
                <w:b/>
                <w:bCs/>
                <w:sz w:val="18"/>
                <w:szCs w:val="18"/>
                <w:lang w:val="en-US"/>
              </w:rPr>
            </w:pPr>
            <w:r w:rsidRPr="0752BA49">
              <w:rPr>
                <w:rFonts w:eastAsiaTheme="minorEastAsia"/>
                <w:b/>
                <w:bCs/>
                <w:sz w:val="18"/>
                <w:szCs w:val="18"/>
                <w:lang w:val="en-US" w:eastAsia="hr-HR"/>
              </w:rPr>
              <w:t xml:space="preserve"> </w:t>
            </w:r>
            <w:r w:rsidR="55882EE6" w:rsidRPr="0752BA49">
              <w:rPr>
                <w:rFonts w:eastAsiaTheme="minorEastAsia"/>
                <w:sz w:val="18"/>
                <w:szCs w:val="18"/>
                <w:lang w:val="en-US"/>
              </w:rPr>
              <w:t xml:space="preserve">Cornish, K., Fox, G., Fyfe, T., Koopmans, E., Pousette, A., &amp; Pelletier, C. A. (2020). Understanding physical literacy in the context of health: a rapid scoping review. </w:t>
            </w:r>
            <w:r w:rsidR="55882EE6" w:rsidRPr="0752BA49">
              <w:rPr>
                <w:rFonts w:eastAsiaTheme="minorEastAsia"/>
                <w:i/>
                <w:iCs/>
                <w:sz w:val="18"/>
                <w:szCs w:val="18"/>
                <w:lang w:val="en-US"/>
              </w:rPr>
              <w:t>BMC public health</w:t>
            </w:r>
            <w:r w:rsidR="55882EE6" w:rsidRPr="0752BA49">
              <w:rPr>
                <w:rFonts w:eastAsiaTheme="minorEastAsia"/>
                <w:sz w:val="18"/>
                <w:szCs w:val="18"/>
                <w:lang w:val="en-US"/>
              </w:rPr>
              <w:t xml:space="preserve">, </w:t>
            </w:r>
            <w:r w:rsidR="55882EE6" w:rsidRPr="0752BA49">
              <w:rPr>
                <w:rFonts w:eastAsiaTheme="minorEastAsia"/>
                <w:i/>
                <w:iCs/>
                <w:sz w:val="18"/>
                <w:szCs w:val="18"/>
                <w:lang w:val="en-US"/>
              </w:rPr>
              <w:t>20</w:t>
            </w:r>
            <w:r w:rsidR="55882EE6" w:rsidRPr="0752BA49">
              <w:rPr>
                <w:rFonts w:eastAsiaTheme="minorEastAsia"/>
                <w:sz w:val="18"/>
                <w:szCs w:val="18"/>
                <w:lang w:val="en-US"/>
              </w:rPr>
              <w:t>(1), 1569. https://doi.org/10.1186/s12889-020-09583-8</w:t>
            </w:r>
          </w:p>
        </w:tc>
      </w:tr>
      <w:tr w:rsidR="00927DC5" w:rsidRPr="005365AA" w14:paraId="7D9545B2" w14:textId="77777777" w:rsidTr="0752BA49">
        <w:trPr>
          <w:trHeight w:val="300"/>
        </w:trPr>
        <w:tc>
          <w:tcPr>
            <w:tcW w:w="2835" w:type="dxa"/>
            <w:hideMark/>
          </w:tcPr>
          <w:p w14:paraId="6F048FD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6227" w:type="dxa"/>
          </w:tcPr>
          <w:p w14:paraId="1D0FAE0F" w14:textId="4154EE0A" w:rsidR="00927DC5" w:rsidRPr="005365AA" w:rsidRDefault="257EE47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w:t>
            </w:r>
            <w:r w:rsidR="1A8B57E2" w:rsidRPr="0752BA49">
              <w:rPr>
                <w:rFonts w:eastAsiaTheme="minorEastAsia"/>
                <w:sz w:val="18"/>
                <w:szCs w:val="18"/>
              </w:rPr>
              <w:t xml:space="preserve">DOI: </w:t>
            </w:r>
            <w:hyperlink r:id="rId12">
              <w:r w:rsidR="1A8B57E2" w:rsidRPr="0752BA49">
                <w:rPr>
                  <w:rStyle w:val="Hiperveza"/>
                  <w:rFonts w:eastAsiaTheme="minorEastAsia"/>
                  <w:sz w:val="18"/>
                  <w:szCs w:val="18"/>
                </w:rPr>
                <w:t>10.1186/s12889-020-09583-8</w:t>
              </w:r>
            </w:hyperlink>
          </w:p>
        </w:tc>
      </w:tr>
      <w:tr w:rsidR="00927DC5" w:rsidRPr="005365AA" w14:paraId="1BE53DD6" w14:textId="77777777" w:rsidTr="0752BA49">
        <w:trPr>
          <w:trHeight w:val="300"/>
        </w:trPr>
        <w:tc>
          <w:tcPr>
            <w:tcW w:w="2835" w:type="dxa"/>
            <w:hideMark/>
          </w:tcPr>
          <w:p w14:paraId="629FAC1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6227" w:type="dxa"/>
          </w:tcPr>
          <w:p w14:paraId="229A7E1F" w14:textId="5254BA13" w:rsidR="00927DC5" w:rsidRPr="005365AA" w:rsidRDefault="7E2D341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Tjelesna pismenost</w:t>
            </w:r>
          </w:p>
        </w:tc>
      </w:tr>
      <w:tr w:rsidR="00927DC5" w:rsidRPr="005365AA" w14:paraId="6C278170" w14:textId="77777777" w:rsidTr="0752BA49">
        <w:trPr>
          <w:trHeight w:val="300"/>
        </w:trPr>
        <w:tc>
          <w:tcPr>
            <w:tcW w:w="2835" w:type="dxa"/>
          </w:tcPr>
          <w:p w14:paraId="4481F4A9"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6227" w:type="dxa"/>
          </w:tcPr>
          <w:p w14:paraId="4893E0E5" w14:textId="3AFFD22A" w:rsidR="00927DC5" w:rsidRPr="005365AA" w:rsidRDefault="6818B6EA"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Ana Đerek</w:t>
            </w:r>
          </w:p>
        </w:tc>
      </w:tr>
      <w:tr w:rsidR="00927DC5" w:rsidRPr="005365AA" w14:paraId="420C1CB8" w14:textId="77777777" w:rsidTr="0752BA49">
        <w:trPr>
          <w:trHeight w:val="300"/>
        </w:trPr>
        <w:tc>
          <w:tcPr>
            <w:tcW w:w="2835" w:type="dxa"/>
            <w:hideMark/>
          </w:tcPr>
          <w:p w14:paraId="429D9422"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3248AC4D"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2906D88C"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06AE2CC8"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62F8B7CA"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6227" w:type="dxa"/>
          </w:tcPr>
          <w:p w14:paraId="5A1D5E40" w14:textId="79900009" w:rsidR="00927DC5" w:rsidRPr="005365AA" w:rsidRDefault="746EA811"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p>
          <w:p w14:paraId="7AAFB6FE" w14:textId="437EE3CA" w:rsidR="00927DC5" w:rsidRPr="005365AA" w:rsidRDefault="35EA4084"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 xml:space="preserve">   </w:t>
            </w:r>
            <w:r w:rsidR="746EA811" w:rsidRPr="0752BA49">
              <w:rPr>
                <w:rFonts w:eastAsiaTheme="minorEastAsia"/>
                <w:b/>
                <w:bCs/>
                <w:color w:val="4472C4" w:themeColor="accent1"/>
                <w:sz w:val="18"/>
                <w:szCs w:val="18"/>
                <w:lang w:eastAsia="hr-HR"/>
              </w:rPr>
              <w:t>3</w:t>
            </w:r>
          </w:p>
        </w:tc>
      </w:tr>
      <w:tr w:rsidR="00927DC5" w:rsidRPr="005365AA" w14:paraId="52EA9441" w14:textId="77777777" w:rsidTr="0752BA49">
        <w:trPr>
          <w:trHeight w:val="300"/>
        </w:trPr>
        <w:tc>
          <w:tcPr>
            <w:tcW w:w="2835" w:type="dxa"/>
            <w:hideMark/>
          </w:tcPr>
          <w:p w14:paraId="65B68ECA"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2790D45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7" w:type="dxa"/>
          </w:tcPr>
          <w:p w14:paraId="474C650E" w14:textId="44EF6D0C" w:rsidR="00927DC5" w:rsidRPr="005365AA" w:rsidRDefault="5AD65992" w:rsidP="0752BA49">
            <w:pPr>
              <w:spacing w:after="0" w:line="240" w:lineRule="auto"/>
              <w:textAlignment w:val="baseline"/>
              <w:rPr>
                <w:rFonts w:eastAsiaTheme="minorEastAsia"/>
                <w:b/>
                <w:bCs/>
                <w:sz w:val="18"/>
                <w:szCs w:val="18"/>
              </w:rPr>
            </w:pPr>
            <w:r w:rsidRPr="0752BA49">
              <w:rPr>
                <w:rFonts w:eastAsiaTheme="minorEastAsia"/>
                <w:sz w:val="18"/>
                <w:szCs w:val="18"/>
                <w:lang w:eastAsia="hr-HR"/>
              </w:rPr>
              <w:t xml:space="preserve"> </w:t>
            </w:r>
            <w:r w:rsidRPr="0752BA49">
              <w:rPr>
                <w:rFonts w:eastAsiaTheme="minorEastAsia"/>
                <w:b/>
                <w:bCs/>
                <w:sz w:val="18"/>
                <w:szCs w:val="18"/>
              </w:rPr>
              <w:t>Background</w:t>
            </w:r>
          </w:p>
          <w:p w14:paraId="653AB9AE" w14:textId="4AB3C8B3" w:rsidR="00927DC5" w:rsidRPr="005365AA" w:rsidRDefault="5AD65992" w:rsidP="0752BA49">
            <w:pPr>
              <w:spacing w:after="0" w:line="240" w:lineRule="auto"/>
              <w:textAlignment w:val="baseline"/>
              <w:rPr>
                <w:rFonts w:eastAsiaTheme="minorEastAsia"/>
                <w:sz w:val="18"/>
                <w:szCs w:val="18"/>
              </w:rPr>
            </w:pPr>
            <w:r w:rsidRPr="0752BA49">
              <w:rPr>
                <w:rFonts w:eastAsiaTheme="minorEastAsia"/>
                <w:sz w:val="18"/>
                <w:szCs w:val="18"/>
              </w:rPr>
              <w:t>Physical literacy is a multidimensional concept that describes a holistic foundation for physical activity engagement. Understanding the utilization and effectiveness of physical literacy in the context of health and the health care setting will support clinical and population health programming. The purpose of this rapid scoping review was to: 1) map the conceptualization of physical literacy as it relates to health; 2) identify and describe the utilization of physical literacy in the context of health and engagement of health care providers; and 3) better understand the relationship between physical literacy, physical activity, and health.</w:t>
            </w:r>
          </w:p>
          <w:p w14:paraId="134FDFD8" w14:textId="4FC679DE" w:rsidR="00927DC5" w:rsidRPr="005365AA" w:rsidRDefault="5AD65992" w:rsidP="0752BA49">
            <w:pPr>
              <w:spacing w:after="0" w:line="240" w:lineRule="auto"/>
              <w:textAlignment w:val="baseline"/>
              <w:rPr>
                <w:rFonts w:eastAsiaTheme="minorEastAsia"/>
                <w:b/>
                <w:bCs/>
                <w:sz w:val="18"/>
                <w:szCs w:val="18"/>
              </w:rPr>
            </w:pPr>
            <w:r w:rsidRPr="0752BA49">
              <w:rPr>
                <w:rFonts w:eastAsiaTheme="minorEastAsia"/>
                <w:b/>
                <w:bCs/>
                <w:sz w:val="18"/>
                <w:szCs w:val="18"/>
              </w:rPr>
              <w:t>Methods</w:t>
            </w:r>
          </w:p>
          <w:p w14:paraId="1031FB0F" w14:textId="20AFC95F" w:rsidR="00927DC5" w:rsidRPr="005365AA" w:rsidRDefault="5AD65992" w:rsidP="0752BA49">
            <w:pPr>
              <w:spacing w:after="0" w:line="240" w:lineRule="auto"/>
              <w:textAlignment w:val="baseline"/>
              <w:rPr>
                <w:rFonts w:eastAsiaTheme="minorEastAsia"/>
                <w:sz w:val="18"/>
                <w:szCs w:val="18"/>
              </w:rPr>
            </w:pPr>
            <w:r w:rsidRPr="0752BA49">
              <w:rPr>
                <w:rFonts w:eastAsiaTheme="minorEastAsia"/>
                <w:sz w:val="18"/>
                <w:szCs w:val="18"/>
              </w:rPr>
              <w:t>Following established scoping review methods adapted for a rapid review approach, we searched electronic databases Medline OVID, CINAHL Ebsco, PsycInfo Ebsco, Web of Science ISI, and ERIC Ebsco from conception until September 2019. Tabulation coding was used to identify the key themes across included articles and synthesize findings. The review follows an integrated knowledge translation approach based on a partnership between the health system, community organizations, and researchers.</w:t>
            </w:r>
          </w:p>
          <w:p w14:paraId="3A3C7570" w14:textId="52B6374A" w:rsidR="00927DC5" w:rsidRPr="005365AA" w:rsidRDefault="5AD65992" w:rsidP="0752BA49">
            <w:pPr>
              <w:spacing w:after="0" w:line="240" w:lineRule="auto"/>
              <w:textAlignment w:val="baseline"/>
              <w:rPr>
                <w:rFonts w:eastAsiaTheme="minorEastAsia"/>
                <w:b/>
                <w:bCs/>
                <w:sz w:val="18"/>
                <w:szCs w:val="18"/>
              </w:rPr>
            </w:pPr>
            <w:r w:rsidRPr="0752BA49">
              <w:rPr>
                <w:rFonts w:eastAsiaTheme="minorEastAsia"/>
                <w:b/>
                <w:bCs/>
                <w:sz w:val="18"/>
                <w:szCs w:val="18"/>
              </w:rPr>
              <w:t>Results</w:t>
            </w:r>
          </w:p>
          <w:p w14:paraId="2A17B6FA" w14:textId="36B711D7" w:rsidR="00927DC5" w:rsidRPr="005365AA" w:rsidRDefault="5AD65992" w:rsidP="0752BA49">
            <w:pPr>
              <w:spacing w:after="0" w:line="240" w:lineRule="auto"/>
              <w:textAlignment w:val="baseline"/>
              <w:rPr>
                <w:rFonts w:eastAsiaTheme="minorEastAsia"/>
                <w:sz w:val="18"/>
                <w:szCs w:val="18"/>
              </w:rPr>
            </w:pPr>
            <w:r w:rsidRPr="0752BA49">
              <w:rPr>
                <w:rFonts w:eastAsiaTheme="minorEastAsia"/>
                <w:sz w:val="18"/>
                <w:szCs w:val="18"/>
              </w:rPr>
              <w:t>Following removal of duplicates, our search identified 475 articles for title and abstract screening. After full text review, 17 articles were included (12 original research papers and five conceptual or review papers). There was near consensus among included papers with 16 of 17 using the Whiteheadian definition of physical literacy. There was limited involvement of health care providers in the concept of physical literacy. Physical literacy was connected to the following health indicators: BMI and body weight, waist circumference, cardiorespiratory fitness, physical activity, and sedentary behaviour. The primary demographic focus of included studies was children and there was a conceptual focus on the physical domain of physical literacy.</w:t>
            </w:r>
          </w:p>
          <w:p w14:paraId="334A558F" w14:textId="3AF8BA7A" w:rsidR="00927DC5" w:rsidRPr="005365AA" w:rsidRDefault="5AD65992" w:rsidP="0752BA49">
            <w:pPr>
              <w:spacing w:after="0" w:line="240" w:lineRule="auto"/>
              <w:textAlignment w:val="baseline"/>
              <w:rPr>
                <w:rFonts w:eastAsiaTheme="minorEastAsia"/>
                <w:b/>
                <w:bCs/>
                <w:sz w:val="18"/>
                <w:szCs w:val="18"/>
              </w:rPr>
            </w:pPr>
            <w:r w:rsidRPr="0752BA49">
              <w:rPr>
                <w:rFonts w:eastAsiaTheme="minorEastAsia"/>
                <w:b/>
                <w:bCs/>
                <w:sz w:val="18"/>
                <w:szCs w:val="18"/>
              </w:rPr>
              <w:t>Conclusions</w:t>
            </w:r>
          </w:p>
          <w:p w14:paraId="701761B6" w14:textId="79AAC19C" w:rsidR="00927DC5" w:rsidRPr="005365AA" w:rsidRDefault="5AD65992" w:rsidP="0752BA49">
            <w:pPr>
              <w:spacing w:after="0" w:line="240" w:lineRule="auto"/>
              <w:textAlignment w:val="baseline"/>
              <w:rPr>
                <w:rFonts w:eastAsiaTheme="minorEastAsia"/>
                <w:sz w:val="18"/>
                <w:szCs w:val="18"/>
              </w:rPr>
            </w:pPr>
            <w:r w:rsidRPr="0752BA49">
              <w:rPr>
                <w:rFonts w:eastAsiaTheme="minorEastAsia"/>
                <w:sz w:val="18"/>
                <w:szCs w:val="18"/>
              </w:rPr>
              <w:t>Despite growing popularity, the empirical evidence base linking physical literacy and health outcomes is limited and the relationship remains theoretical. Physical literacy may present a novel and holistic framework for health-enhancing physical activity interventions that consider factors vital to sustained participation in physical activity across the life course. Future work should continue to explore the nature and direction of the relationship between physical activity and physical literacy to identify appropriate focused approaches for health promotion.</w:t>
            </w:r>
          </w:p>
          <w:p w14:paraId="7A2E07B5" w14:textId="0FE04FF4" w:rsidR="00927DC5" w:rsidRPr="005365AA" w:rsidRDefault="00927DC5" w:rsidP="0752BA49">
            <w:pPr>
              <w:spacing w:after="0" w:line="240" w:lineRule="auto"/>
              <w:textAlignment w:val="baseline"/>
              <w:rPr>
                <w:rFonts w:eastAsiaTheme="minorEastAsia"/>
                <w:sz w:val="18"/>
                <w:szCs w:val="18"/>
                <w:lang w:eastAsia="hr-HR"/>
              </w:rPr>
            </w:pPr>
          </w:p>
        </w:tc>
      </w:tr>
      <w:tr w:rsidR="00927DC5" w:rsidRPr="005365AA" w14:paraId="46EE0CF2" w14:textId="77777777" w:rsidTr="0752BA49">
        <w:trPr>
          <w:trHeight w:val="300"/>
        </w:trPr>
        <w:tc>
          <w:tcPr>
            <w:tcW w:w="2835" w:type="dxa"/>
            <w:hideMark/>
          </w:tcPr>
          <w:p w14:paraId="0C4651DD"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6227" w:type="dxa"/>
          </w:tcPr>
          <w:p w14:paraId="00BF535F" w14:textId="709C37F3" w:rsidR="00927DC5" w:rsidRPr="005365AA" w:rsidRDefault="6E466C2A"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w:t>
            </w:r>
            <w:r w:rsidR="30D845A4" w:rsidRPr="0752BA49">
              <w:rPr>
                <w:rFonts w:eastAsiaTheme="minorEastAsia"/>
                <w:sz w:val="18"/>
                <w:szCs w:val="18"/>
                <w:lang w:eastAsia="hr-HR"/>
              </w:rPr>
              <w:t xml:space="preserve">Tjelesna aktivnost, tjelesna i zdravstvena kultura, promocija zdravlja, zdravlje populacije, </w:t>
            </w:r>
            <w:r w:rsidR="1FA9D035" w:rsidRPr="0752BA49">
              <w:rPr>
                <w:rFonts w:eastAsiaTheme="minorEastAsia"/>
                <w:sz w:val="18"/>
                <w:szCs w:val="18"/>
                <w:lang w:eastAsia="hr-HR"/>
              </w:rPr>
              <w:t>vježbanje</w:t>
            </w:r>
          </w:p>
        </w:tc>
      </w:tr>
      <w:tr w:rsidR="00927DC5" w:rsidRPr="005365AA" w14:paraId="51162795" w14:textId="77777777" w:rsidTr="0752BA49">
        <w:trPr>
          <w:trHeight w:val="300"/>
        </w:trPr>
        <w:tc>
          <w:tcPr>
            <w:tcW w:w="2835" w:type="dxa"/>
            <w:hideMark/>
          </w:tcPr>
          <w:p w14:paraId="35738AEA"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6227" w:type="dxa"/>
          </w:tcPr>
          <w:p w14:paraId="34163B3A" w14:textId="1876DB4A" w:rsidR="00927DC5" w:rsidRPr="005365AA" w:rsidRDefault="563627EC"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Autori su u ovom preglednom radu pokušali dati odgovore na 3 pitanja: </w:t>
            </w:r>
          </w:p>
          <w:p w14:paraId="1EECB0B6" w14:textId="3CE1082D" w:rsidR="00927DC5" w:rsidRPr="005365AA" w:rsidRDefault="38DC6699" w:rsidP="0752BA49">
            <w:pPr>
              <w:pStyle w:val="Odlomakpopisa"/>
              <w:numPr>
                <w:ilvl w:val="0"/>
                <w:numId w:val="8"/>
              </w:numPr>
              <w:spacing w:after="0" w:line="240" w:lineRule="auto"/>
              <w:textAlignment w:val="baseline"/>
              <w:rPr>
                <w:rFonts w:eastAsiaTheme="minorEastAsia"/>
                <w:sz w:val="18"/>
                <w:szCs w:val="18"/>
              </w:rPr>
            </w:pPr>
            <w:r w:rsidRPr="0752BA49">
              <w:rPr>
                <w:rFonts w:eastAsiaTheme="minorEastAsia"/>
                <w:sz w:val="18"/>
                <w:szCs w:val="18"/>
                <w:lang w:val="hr"/>
              </w:rPr>
              <w:t>Kako trenutna literatura definira i/ili konceptualizira tjelesnu pismenost u odnosu na zdravlje?</w:t>
            </w:r>
          </w:p>
          <w:p w14:paraId="6C5C3A01" w14:textId="6B602CFA" w:rsidR="00927DC5" w:rsidRPr="005365AA" w:rsidRDefault="38DC6699" w:rsidP="0752BA49">
            <w:pPr>
              <w:pStyle w:val="Odlomakpopisa"/>
              <w:numPr>
                <w:ilvl w:val="0"/>
                <w:numId w:val="8"/>
              </w:numPr>
              <w:spacing w:after="0" w:line="240" w:lineRule="auto"/>
              <w:textAlignment w:val="baseline"/>
              <w:rPr>
                <w:rFonts w:eastAsiaTheme="minorEastAsia"/>
                <w:sz w:val="18"/>
                <w:szCs w:val="18"/>
              </w:rPr>
            </w:pPr>
            <w:r w:rsidRPr="0752BA49">
              <w:rPr>
                <w:rFonts w:eastAsiaTheme="minorEastAsia"/>
                <w:sz w:val="18"/>
                <w:szCs w:val="18"/>
                <w:lang w:val="hr"/>
              </w:rPr>
              <w:t>U kojim se područjima zdravstvenog sektora koristi pojam „tjelesna pismenost“ i kako su zdravstveni djelatnici uključeni u ovaj koncept</w:t>
            </w:r>
          </w:p>
          <w:p w14:paraId="12C2BB2F" w14:textId="3CD6CA0E" w:rsidR="00927DC5" w:rsidRPr="005365AA" w:rsidRDefault="38DC6699" w:rsidP="0752BA49">
            <w:pPr>
              <w:pStyle w:val="Odlomakpopisa"/>
              <w:numPr>
                <w:ilvl w:val="0"/>
                <w:numId w:val="8"/>
              </w:numPr>
              <w:spacing w:after="0" w:line="240" w:lineRule="auto"/>
              <w:textAlignment w:val="baseline"/>
              <w:rPr>
                <w:rFonts w:eastAsiaTheme="minorEastAsia"/>
                <w:sz w:val="18"/>
                <w:szCs w:val="18"/>
              </w:rPr>
            </w:pPr>
            <w:r w:rsidRPr="0752BA49">
              <w:rPr>
                <w:rFonts w:eastAsiaTheme="minorEastAsia"/>
                <w:sz w:val="18"/>
                <w:szCs w:val="18"/>
                <w:lang w:val="hr"/>
              </w:rPr>
              <w:t>Opisuje li postojeća literatura odnos između tjelesne pismenosti, razine tjelesne aktivnosti i poboljšanih zdravstvenih ishoda, a ako da, koji su ključni nalazi?</w:t>
            </w:r>
          </w:p>
          <w:p w14:paraId="2CA500A3" w14:textId="4B02BAE5" w:rsidR="00927DC5" w:rsidRPr="005365AA" w:rsidRDefault="272E724E" w:rsidP="0752BA49">
            <w:pPr>
              <w:spacing w:after="0" w:line="240" w:lineRule="auto"/>
              <w:textAlignment w:val="baseline"/>
              <w:rPr>
                <w:rFonts w:eastAsiaTheme="minorEastAsia"/>
                <w:sz w:val="18"/>
                <w:szCs w:val="18"/>
              </w:rPr>
            </w:pPr>
            <w:r w:rsidRPr="0752BA49">
              <w:rPr>
                <w:rFonts w:eastAsiaTheme="minorEastAsia"/>
                <w:sz w:val="18"/>
                <w:szCs w:val="18"/>
                <w:lang w:val="hr"/>
              </w:rPr>
              <w:t>Nakon uklanjanja duplikata, pretraživanjem literature identificirano je 475 članaka povezanih s traženim pojmo</w:t>
            </w:r>
            <w:r w:rsidR="1A3AC23B" w:rsidRPr="0752BA49">
              <w:rPr>
                <w:rFonts w:eastAsiaTheme="minorEastAsia"/>
                <w:sz w:val="18"/>
                <w:szCs w:val="18"/>
                <w:lang w:val="hr"/>
              </w:rPr>
              <w:t>vima</w:t>
            </w:r>
            <w:r w:rsidRPr="0752BA49">
              <w:rPr>
                <w:rFonts w:eastAsiaTheme="minorEastAsia"/>
                <w:sz w:val="18"/>
                <w:szCs w:val="18"/>
                <w:lang w:val="hr"/>
              </w:rPr>
              <w:t>. Nakon pregleda cijelog teksta, uključeno je 17 članaka (12 originalnih istraživačkih radova i pet konceptualnih ili preglednih radova). Postignut je gotovo konsenzus među uključenim radovima, pri čemu je 16 od 17 koristilo Whiteheadovu definiciju tjelesne pismenosti. Pružatelji zdravstvene skrbi bili su ograničeno uključeni u koncept tjelesne pismenosti. Tjelesna pismenost bila je povezana sa sljedećim zdravstvenim pokazateljima: BMI i tjelesna težina, opseg struka, kardiorespiratorna kondicija, tjelesna aktivnost i sjedilačko ponašanje. Primarni demografski fokus uključenih studija bila su djeca, a konceptualni fokus bio je na tjelesnoj domeni tjelesne pismenosti.</w:t>
            </w:r>
          </w:p>
        </w:tc>
      </w:tr>
      <w:tr w:rsidR="00927DC5" w:rsidRPr="005365AA" w14:paraId="22F99C27" w14:textId="77777777" w:rsidTr="0752BA49">
        <w:trPr>
          <w:trHeight w:val="300"/>
        </w:trPr>
        <w:tc>
          <w:tcPr>
            <w:tcW w:w="2835" w:type="dxa"/>
            <w:hideMark/>
          </w:tcPr>
          <w:p w14:paraId="59F96C13"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50B3F2C9"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7" w:type="dxa"/>
          </w:tcPr>
          <w:p w14:paraId="21B14A7C" w14:textId="3562DBFB" w:rsidR="00927DC5" w:rsidRPr="005365AA" w:rsidRDefault="5A7F9DE4"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D</w:t>
            </w:r>
            <w:r w:rsidR="07BBAA4C" w:rsidRPr="0752BA49">
              <w:rPr>
                <w:rFonts w:eastAsiaTheme="minorEastAsia"/>
                <w:sz w:val="18"/>
                <w:szCs w:val="18"/>
                <w:lang w:val="hr"/>
              </w:rPr>
              <w:t>jeca s višim rezultatima tjelesne pismenosti imaju veću vjerojatnost da će ispuniti preporuke za svakodnevnu tjelesnu aktivnost i sjedilačko ponašanje; slično tome, tjelesna i afektivna područja tjelesne pismenosti bila su negativno povezanas vremenom provedenim pred ekranom i bez ekrana.</w:t>
            </w:r>
            <w:r w:rsidR="1670E8E8">
              <w:br/>
            </w:r>
            <w:r w:rsidR="07BBAA4C" w:rsidRPr="0752BA49">
              <w:rPr>
                <w:rFonts w:eastAsiaTheme="minorEastAsia"/>
                <w:sz w:val="18"/>
                <w:szCs w:val="18"/>
                <w:lang w:val="hr"/>
              </w:rPr>
              <w:t>U tri članka uključena u ovaj pregled, sudionici za koje se smatra da imaju zdravu težinu</w:t>
            </w:r>
            <w:r w:rsidR="2BCC6219" w:rsidRPr="0752BA49">
              <w:rPr>
                <w:rFonts w:eastAsiaTheme="minorEastAsia"/>
                <w:sz w:val="18"/>
                <w:szCs w:val="18"/>
                <w:lang w:val="hr"/>
              </w:rPr>
              <w:t xml:space="preserve"> </w:t>
            </w:r>
            <w:r w:rsidR="07BBAA4C" w:rsidRPr="0752BA49">
              <w:rPr>
                <w:rFonts w:eastAsiaTheme="minorEastAsia"/>
                <w:sz w:val="18"/>
                <w:szCs w:val="18"/>
                <w:lang w:val="hr"/>
              </w:rPr>
              <w:t>zabilježili su više rezultate tjelesne pismenosti od onih koji su klasificirani</w:t>
            </w:r>
            <w:r w:rsidR="50426024" w:rsidRPr="0752BA49">
              <w:rPr>
                <w:rFonts w:eastAsiaTheme="minorEastAsia"/>
                <w:sz w:val="18"/>
                <w:szCs w:val="18"/>
                <w:lang w:val="hr"/>
              </w:rPr>
              <w:t xml:space="preserve"> </w:t>
            </w:r>
            <w:r w:rsidR="07BBAA4C" w:rsidRPr="0752BA49">
              <w:rPr>
                <w:rFonts w:eastAsiaTheme="minorEastAsia"/>
                <w:sz w:val="18"/>
                <w:szCs w:val="18"/>
                <w:lang w:val="hr"/>
              </w:rPr>
              <w:t>kao pretili ili prekomjerno t</w:t>
            </w:r>
            <w:r w:rsidR="685D6272" w:rsidRPr="0752BA49">
              <w:rPr>
                <w:rFonts w:eastAsiaTheme="minorEastAsia"/>
                <w:sz w:val="18"/>
                <w:szCs w:val="18"/>
                <w:lang w:val="hr"/>
              </w:rPr>
              <w:t>eški</w:t>
            </w:r>
            <w:r w:rsidR="07BBAA4C" w:rsidRPr="0752BA49">
              <w:rPr>
                <w:rFonts w:eastAsiaTheme="minorEastAsia"/>
                <w:sz w:val="18"/>
                <w:szCs w:val="18"/>
                <w:lang w:val="hr"/>
              </w:rPr>
              <w:t>.</w:t>
            </w:r>
            <w:r w:rsidR="59EDDD8D" w:rsidRPr="0752BA49">
              <w:rPr>
                <w:rFonts w:eastAsiaTheme="minorEastAsia"/>
                <w:sz w:val="18"/>
                <w:szCs w:val="18"/>
                <w:lang w:val="hr"/>
              </w:rPr>
              <w:t xml:space="preserve"> </w:t>
            </w:r>
          </w:p>
          <w:p w14:paraId="5D58B66A" w14:textId="60D7DBF0" w:rsidR="00927DC5" w:rsidRPr="005365AA" w:rsidRDefault="127851E4"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Nalazi jednog istraživanja pokazuju da su djeca s višim rezultatima kardiorespiratornog fitnesa imala veću tjelesnu pismenost u svim domenama tjelesne pismenosti, bez obzira na dob ili spol; druga je otkrila da je kardiorespiratorn</w:t>
            </w:r>
            <w:r w:rsidR="5ADF7138" w:rsidRPr="0752BA49">
              <w:rPr>
                <w:rFonts w:eastAsiaTheme="minorEastAsia"/>
                <w:sz w:val="18"/>
                <w:szCs w:val="18"/>
                <w:lang w:val="hr"/>
              </w:rPr>
              <w:t>i</w:t>
            </w:r>
            <w:r w:rsidRPr="0752BA49">
              <w:rPr>
                <w:rFonts w:eastAsiaTheme="minorEastAsia"/>
                <w:sz w:val="18"/>
                <w:szCs w:val="18"/>
                <w:lang w:val="hr"/>
              </w:rPr>
              <w:t xml:space="preserve"> </w:t>
            </w:r>
            <w:r w:rsidR="5507F12E" w:rsidRPr="0752BA49">
              <w:rPr>
                <w:rFonts w:eastAsiaTheme="minorEastAsia"/>
                <w:sz w:val="18"/>
                <w:szCs w:val="18"/>
                <w:lang w:val="hr"/>
              </w:rPr>
              <w:t>fitnes</w:t>
            </w:r>
            <w:r w:rsidRPr="0752BA49">
              <w:rPr>
                <w:rFonts w:eastAsiaTheme="minorEastAsia"/>
                <w:sz w:val="18"/>
                <w:szCs w:val="18"/>
                <w:lang w:val="hr"/>
              </w:rPr>
              <w:t xml:space="preserve"> povezan</w:t>
            </w:r>
            <w:r w:rsidR="2BA8D58C" w:rsidRPr="0752BA49">
              <w:rPr>
                <w:rFonts w:eastAsiaTheme="minorEastAsia"/>
                <w:sz w:val="18"/>
                <w:szCs w:val="18"/>
                <w:lang w:val="hr"/>
              </w:rPr>
              <w:t xml:space="preserve"> </w:t>
            </w:r>
            <w:r w:rsidRPr="0752BA49">
              <w:rPr>
                <w:rFonts w:eastAsiaTheme="minorEastAsia"/>
                <w:sz w:val="18"/>
                <w:szCs w:val="18"/>
                <w:lang w:val="hr"/>
              </w:rPr>
              <w:t xml:space="preserve">s percipiranom razinom </w:t>
            </w:r>
            <w:r w:rsidR="1E10CABA" w:rsidRPr="0752BA49">
              <w:rPr>
                <w:rFonts w:eastAsiaTheme="minorEastAsia"/>
                <w:sz w:val="18"/>
                <w:szCs w:val="18"/>
                <w:lang w:val="hr"/>
              </w:rPr>
              <w:t>sposobnosti</w:t>
            </w:r>
            <w:r w:rsidRPr="0752BA49">
              <w:rPr>
                <w:rFonts w:eastAsiaTheme="minorEastAsia"/>
                <w:sz w:val="18"/>
                <w:szCs w:val="18"/>
                <w:lang w:val="hr"/>
              </w:rPr>
              <w:t xml:space="preserve"> i sklonosti djece</w:t>
            </w:r>
            <w:r w:rsidR="5502D050" w:rsidRPr="0752BA49">
              <w:rPr>
                <w:rFonts w:eastAsiaTheme="minorEastAsia"/>
                <w:sz w:val="18"/>
                <w:szCs w:val="18"/>
                <w:lang w:val="hr"/>
              </w:rPr>
              <w:t xml:space="preserve"> </w:t>
            </w:r>
            <w:r w:rsidRPr="0752BA49">
              <w:rPr>
                <w:rFonts w:eastAsiaTheme="minorEastAsia"/>
                <w:sz w:val="18"/>
                <w:szCs w:val="18"/>
                <w:lang w:val="hr"/>
              </w:rPr>
              <w:t>za tjelesnu aktivnost</w:t>
            </w:r>
            <w:r w:rsidR="23D9182A" w:rsidRPr="0752BA49">
              <w:rPr>
                <w:rFonts w:eastAsiaTheme="minorEastAsia"/>
                <w:sz w:val="18"/>
                <w:szCs w:val="18"/>
                <w:lang w:val="hr"/>
              </w:rPr>
              <w:t>.</w:t>
            </w:r>
          </w:p>
          <w:p w14:paraId="7EE592BC" w14:textId="788EAC40" w:rsidR="00927DC5" w:rsidRPr="005365AA" w:rsidRDefault="58DC5AC4"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Iako je jasna veza između tjelesne aktivnosti i zdravlja, zasad još nema dovoljno dokaza o povezanosti tjelesne pismenosti i zdravlja.</w:t>
            </w:r>
          </w:p>
          <w:p w14:paraId="2275F9B7" w14:textId="402BED9F" w:rsidR="00927DC5" w:rsidRPr="005365AA" w:rsidRDefault="58DC5AC4"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Ne postoji trenutno opće prihvaćen instrument za procjenu tjelesne pismenosti - najčešće korišten instrument je CAPL, a koriste se često i Playfun, PPLI, CAMSA, IPAQ-A.</w:t>
            </w:r>
          </w:p>
        </w:tc>
      </w:tr>
      <w:tr w:rsidR="00927DC5" w:rsidRPr="005365AA" w14:paraId="26764125" w14:textId="77777777" w:rsidTr="0752BA49">
        <w:trPr>
          <w:trHeight w:val="300"/>
        </w:trPr>
        <w:tc>
          <w:tcPr>
            <w:tcW w:w="2835" w:type="dxa"/>
            <w:hideMark/>
          </w:tcPr>
          <w:p w14:paraId="5CE8404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54F617BD"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227" w:type="dxa"/>
          </w:tcPr>
          <w:p w14:paraId="159EB96F" w14:textId="0B20B6D4" w:rsidR="00927DC5" w:rsidRPr="005365AA" w:rsidRDefault="363E02C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Prema ovom istraživanju, izgleda da je prihvaćena definicija tjelesne pismenosti prema Whitehead koju možemo i mi koristiti u našem projektu. </w:t>
            </w:r>
          </w:p>
          <w:p w14:paraId="50035443" w14:textId="1CF57BBC" w:rsidR="00927DC5" w:rsidRPr="005365AA" w:rsidRDefault="1B391EE4"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Većina istraživanja fokusirana je na samo jednu domenu tjelesne pismenosti (većinom na tjelesnu domenu) tako </w:t>
            </w:r>
            <w:r w:rsidR="4D8F2994" w:rsidRPr="0752BA49">
              <w:rPr>
                <w:rFonts w:eastAsiaTheme="minorEastAsia"/>
                <w:sz w:val="18"/>
                <w:szCs w:val="18"/>
                <w:lang w:eastAsia="hr-HR"/>
              </w:rPr>
              <w:t>da bi bilo dobro pokušati napraviti istraživanje koje će uključiti sve domene tjelesne pismenosti</w:t>
            </w:r>
            <w:r w:rsidR="65D5BC1D" w:rsidRPr="0752BA49">
              <w:rPr>
                <w:rFonts w:eastAsiaTheme="minorEastAsia"/>
                <w:sz w:val="18"/>
                <w:szCs w:val="18"/>
                <w:lang w:eastAsia="hr-HR"/>
              </w:rPr>
              <w:t>.</w:t>
            </w:r>
          </w:p>
          <w:p w14:paraId="7FF99FD9" w14:textId="10A3FCF5" w:rsidR="00927DC5" w:rsidRPr="005365AA" w:rsidRDefault="00927DC5" w:rsidP="0752BA49">
            <w:pPr>
              <w:spacing w:after="0" w:line="240" w:lineRule="auto"/>
              <w:textAlignment w:val="baseline"/>
              <w:rPr>
                <w:rFonts w:eastAsiaTheme="minorEastAsia"/>
                <w:sz w:val="18"/>
                <w:szCs w:val="18"/>
                <w:lang w:eastAsia="hr-HR"/>
              </w:rPr>
            </w:pPr>
          </w:p>
        </w:tc>
      </w:tr>
      <w:tr w:rsidR="00927DC5" w:rsidRPr="005365AA" w14:paraId="09084304" w14:textId="77777777" w:rsidTr="0752BA49">
        <w:trPr>
          <w:trHeight w:val="300"/>
        </w:trPr>
        <w:tc>
          <w:tcPr>
            <w:tcW w:w="2835" w:type="dxa"/>
            <w:hideMark/>
          </w:tcPr>
          <w:p w14:paraId="21ADDEE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6227" w:type="dxa"/>
          </w:tcPr>
          <w:p w14:paraId="264D92DF"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7745CC44" w14:textId="1CFFA74E" w:rsidR="00927DC5" w:rsidRDefault="00927DC5"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3"/>
        <w:gridCol w:w="6489"/>
      </w:tblGrid>
      <w:tr w:rsidR="00927DC5" w:rsidRPr="005365AA" w14:paraId="1703C19C" w14:textId="77777777" w:rsidTr="0752BA49">
        <w:trPr>
          <w:trHeight w:val="300"/>
        </w:trPr>
        <w:tc>
          <w:tcPr>
            <w:tcW w:w="3315" w:type="dxa"/>
            <w:hideMark/>
          </w:tcPr>
          <w:p w14:paraId="2D8595D3" w14:textId="45AE1ABC"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2C1DE251" w14:textId="42EEAAE7" w:rsidR="00927DC5" w:rsidRPr="005365AA" w:rsidRDefault="479E524C" w:rsidP="0752BA49">
            <w:pPr>
              <w:spacing w:after="0" w:line="240" w:lineRule="auto"/>
              <w:textAlignment w:val="baseline"/>
              <w:rPr>
                <w:rFonts w:eastAsiaTheme="minorEastAsia"/>
                <w:b/>
                <w:bCs/>
                <w:sz w:val="18"/>
                <w:szCs w:val="18"/>
                <w:lang w:val="en-US"/>
              </w:rPr>
            </w:pPr>
            <w:r w:rsidRPr="0752BA49">
              <w:rPr>
                <w:rFonts w:eastAsiaTheme="minorEastAsia"/>
                <w:b/>
                <w:bCs/>
                <w:sz w:val="18"/>
                <w:szCs w:val="18"/>
                <w:lang w:val="en-US" w:eastAsia="hr-HR"/>
              </w:rPr>
              <w:t xml:space="preserve"> </w:t>
            </w:r>
            <w:r w:rsidR="105B9CC5" w:rsidRPr="0752BA49">
              <w:rPr>
                <w:rFonts w:eastAsiaTheme="minorEastAsia"/>
                <w:sz w:val="18"/>
                <w:szCs w:val="18"/>
                <w:lang w:val="en-US"/>
              </w:rPr>
              <w:t xml:space="preserve">Carl, J., Barratt, J., Wanner, P., Töpfer, C., Cairney, J., &amp; Pfeifer, K. (2022). The Effectiveness of Physical Literacy Interventions: A Systematic Review with Meta-Analysis. </w:t>
            </w:r>
            <w:r w:rsidR="105B9CC5" w:rsidRPr="0752BA49">
              <w:rPr>
                <w:rFonts w:eastAsiaTheme="minorEastAsia"/>
                <w:i/>
                <w:iCs/>
                <w:sz w:val="18"/>
                <w:szCs w:val="18"/>
                <w:lang w:val="en-US"/>
              </w:rPr>
              <w:t>Sports medicine (Auckland, N.Z.)</w:t>
            </w:r>
            <w:r w:rsidR="105B9CC5" w:rsidRPr="0752BA49">
              <w:rPr>
                <w:rFonts w:eastAsiaTheme="minorEastAsia"/>
                <w:sz w:val="18"/>
                <w:szCs w:val="18"/>
                <w:lang w:val="en-US"/>
              </w:rPr>
              <w:t xml:space="preserve">, </w:t>
            </w:r>
            <w:r w:rsidR="105B9CC5" w:rsidRPr="0752BA49">
              <w:rPr>
                <w:rFonts w:eastAsiaTheme="minorEastAsia"/>
                <w:i/>
                <w:iCs/>
                <w:sz w:val="18"/>
                <w:szCs w:val="18"/>
                <w:lang w:val="en-US"/>
              </w:rPr>
              <w:t>52</w:t>
            </w:r>
            <w:r w:rsidR="105B9CC5" w:rsidRPr="0752BA49">
              <w:rPr>
                <w:rFonts w:eastAsiaTheme="minorEastAsia"/>
                <w:sz w:val="18"/>
                <w:szCs w:val="18"/>
                <w:lang w:val="en-US"/>
              </w:rPr>
              <w:t>(12), 2965–2999. https://doi.org/10.1007/s40279-022-01738-4</w:t>
            </w:r>
          </w:p>
          <w:p w14:paraId="78D1785F" w14:textId="5F71902B" w:rsidR="00927DC5" w:rsidRPr="005365AA" w:rsidRDefault="00927DC5" w:rsidP="0752BA49">
            <w:pPr>
              <w:spacing w:after="0" w:line="240" w:lineRule="auto"/>
              <w:textAlignment w:val="baseline"/>
              <w:rPr>
                <w:rFonts w:eastAsiaTheme="minorEastAsia"/>
                <w:b/>
                <w:bCs/>
                <w:sz w:val="18"/>
                <w:szCs w:val="18"/>
                <w:lang w:eastAsia="hr-HR"/>
              </w:rPr>
            </w:pPr>
          </w:p>
        </w:tc>
      </w:tr>
      <w:tr w:rsidR="00927DC5" w:rsidRPr="005365AA" w14:paraId="65407778" w14:textId="77777777" w:rsidTr="0752BA49">
        <w:trPr>
          <w:trHeight w:val="300"/>
        </w:trPr>
        <w:tc>
          <w:tcPr>
            <w:tcW w:w="3315" w:type="dxa"/>
            <w:hideMark/>
          </w:tcPr>
          <w:p w14:paraId="0627432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2B473171" w14:textId="795D5009" w:rsidR="00927DC5" w:rsidRPr="005365AA" w:rsidRDefault="43809E6F" w:rsidP="0752BA49">
            <w:pPr>
              <w:spacing w:after="0" w:line="240" w:lineRule="auto"/>
              <w:textAlignment w:val="baseline"/>
              <w:rPr>
                <w:rFonts w:eastAsiaTheme="minorEastAsia"/>
                <w:sz w:val="18"/>
                <w:szCs w:val="18"/>
              </w:rPr>
            </w:pPr>
            <w:r w:rsidRPr="0752BA49">
              <w:rPr>
                <w:rFonts w:eastAsiaTheme="minorEastAsia"/>
                <w:sz w:val="18"/>
                <w:szCs w:val="18"/>
                <w:lang w:eastAsia="hr-HR"/>
              </w:rPr>
              <w:t xml:space="preserve"> </w:t>
            </w:r>
            <w:hyperlink r:id="rId13">
              <w:r w:rsidR="7DD09A3D" w:rsidRPr="0752BA49">
                <w:rPr>
                  <w:rStyle w:val="Hiperveza"/>
                  <w:rFonts w:eastAsiaTheme="minorEastAsia"/>
                  <w:sz w:val="18"/>
                  <w:szCs w:val="18"/>
                </w:rPr>
                <w:t>https://doi.org/10.1007/s40279-022-01738-4</w:t>
              </w:r>
            </w:hyperlink>
            <w:r w:rsidR="7DD09A3D" w:rsidRPr="0752BA49">
              <w:rPr>
                <w:rFonts w:eastAsiaTheme="minorEastAsia"/>
                <w:sz w:val="18"/>
                <w:szCs w:val="18"/>
              </w:rPr>
              <w:t xml:space="preserve"> </w:t>
            </w:r>
          </w:p>
        </w:tc>
      </w:tr>
      <w:tr w:rsidR="00927DC5" w:rsidRPr="005365AA" w14:paraId="456F16CE" w14:textId="77777777" w:rsidTr="0752BA49">
        <w:trPr>
          <w:trHeight w:val="300"/>
        </w:trPr>
        <w:tc>
          <w:tcPr>
            <w:tcW w:w="3315" w:type="dxa"/>
            <w:hideMark/>
          </w:tcPr>
          <w:p w14:paraId="7534120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69A3A147" w14:textId="08CD18D3" w:rsidR="00927DC5" w:rsidRPr="005365AA" w:rsidRDefault="0402CA7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Tjelesna pismenost</w:t>
            </w:r>
          </w:p>
        </w:tc>
      </w:tr>
      <w:tr w:rsidR="00927DC5" w:rsidRPr="005365AA" w14:paraId="68C27D01" w14:textId="77777777" w:rsidTr="0752BA49">
        <w:trPr>
          <w:trHeight w:val="300"/>
        </w:trPr>
        <w:tc>
          <w:tcPr>
            <w:tcW w:w="3315" w:type="dxa"/>
          </w:tcPr>
          <w:p w14:paraId="51CAB9E5"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694A76F5" w14:textId="14CF7534" w:rsidR="00927DC5" w:rsidRPr="005365AA" w:rsidRDefault="1E9BB7E5"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Ana Đerek</w:t>
            </w:r>
          </w:p>
        </w:tc>
      </w:tr>
      <w:tr w:rsidR="00927DC5" w:rsidRPr="005365AA" w14:paraId="63F6E7CB" w14:textId="77777777" w:rsidTr="0752BA49">
        <w:trPr>
          <w:trHeight w:val="300"/>
        </w:trPr>
        <w:tc>
          <w:tcPr>
            <w:tcW w:w="3315" w:type="dxa"/>
            <w:hideMark/>
          </w:tcPr>
          <w:p w14:paraId="08426DB4"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777739CD"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33F15C25"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4D68B5DB"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4515782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25DDD192" w14:textId="30FCEFED" w:rsidR="00927DC5" w:rsidRPr="005365AA" w:rsidRDefault="64AD54A0"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p>
          <w:p w14:paraId="665335F1" w14:textId="7C841CAA" w:rsidR="00927DC5" w:rsidRPr="005365AA" w:rsidRDefault="00927DC5" w:rsidP="0752BA49">
            <w:pPr>
              <w:spacing w:after="0" w:line="240" w:lineRule="exact"/>
              <w:textAlignment w:val="baseline"/>
              <w:rPr>
                <w:rFonts w:eastAsiaTheme="minorEastAsia"/>
                <w:b/>
                <w:bCs/>
                <w:color w:val="4472C4" w:themeColor="accent1"/>
                <w:sz w:val="18"/>
                <w:szCs w:val="18"/>
                <w:lang w:eastAsia="hr-HR"/>
              </w:rPr>
            </w:pPr>
          </w:p>
          <w:p w14:paraId="63AFA26C" w14:textId="54A86707" w:rsidR="00927DC5" w:rsidRPr="005365AA" w:rsidRDefault="07028BA8"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 xml:space="preserve">   </w:t>
            </w:r>
            <w:r w:rsidR="64AD54A0" w:rsidRPr="0752BA49">
              <w:rPr>
                <w:rFonts w:eastAsiaTheme="minorEastAsia"/>
                <w:b/>
                <w:bCs/>
                <w:color w:val="4472C4" w:themeColor="accent1"/>
                <w:sz w:val="18"/>
                <w:szCs w:val="18"/>
                <w:lang w:eastAsia="hr-HR"/>
              </w:rPr>
              <w:t>3</w:t>
            </w:r>
          </w:p>
        </w:tc>
      </w:tr>
      <w:tr w:rsidR="00927DC5" w:rsidRPr="005365AA" w14:paraId="67B55674" w14:textId="77777777" w:rsidTr="0752BA49">
        <w:trPr>
          <w:trHeight w:val="300"/>
        </w:trPr>
        <w:tc>
          <w:tcPr>
            <w:tcW w:w="3315" w:type="dxa"/>
            <w:hideMark/>
          </w:tcPr>
          <w:p w14:paraId="1227396E"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05D2ECE8"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6672B587" w14:textId="6E95223C" w:rsidR="00927DC5" w:rsidRPr="005365AA" w:rsidRDefault="261E737D" w:rsidP="0752BA49">
            <w:pPr>
              <w:spacing w:after="0" w:line="240" w:lineRule="auto"/>
              <w:textAlignment w:val="baseline"/>
              <w:rPr>
                <w:rFonts w:eastAsiaTheme="minorEastAsia"/>
                <w:noProof/>
                <w:sz w:val="18"/>
                <w:szCs w:val="18"/>
                <w:lang w:eastAsia="hr-HR"/>
              </w:rPr>
            </w:pPr>
            <w:r w:rsidRPr="0752BA49">
              <w:rPr>
                <w:rFonts w:eastAsiaTheme="minorEastAsia"/>
                <w:b/>
                <w:bCs/>
                <w:noProof/>
                <w:sz w:val="18"/>
                <w:szCs w:val="18"/>
                <w:lang w:eastAsia="hr-HR"/>
              </w:rPr>
              <w:t>Background</w:t>
            </w:r>
            <w:r w:rsidRPr="0752BA49">
              <w:rPr>
                <w:rFonts w:eastAsiaTheme="minorEastAsia"/>
                <w:noProof/>
                <w:sz w:val="18"/>
                <w:szCs w:val="18"/>
                <w:lang w:eastAsia="hr-HR"/>
              </w:rPr>
              <w:t xml:space="preserve"> The holistic concept of physical literacy assumes that individuals require adequate cognitive (knowledge and understanding), affective (motivation and confidence), and physical (physical competence) qualities to engage in lifelong</w:t>
            </w:r>
            <w:r w:rsidR="5998B939" w:rsidRPr="0752BA49">
              <w:rPr>
                <w:rFonts w:eastAsiaTheme="minorEastAsia"/>
                <w:noProof/>
                <w:sz w:val="18"/>
                <w:szCs w:val="18"/>
                <w:lang w:eastAsia="hr-HR"/>
              </w:rPr>
              <w:t xml:space="preserve"> </w:t>
            </w:r>
            <w:r w:rsidRPr="0752BA49">
              <w:rPr>
                <w:rFonts w:eastAsiaTheme="minorEastAsia"/>
                <w:noProof/>
                <w:sz w:val="18"/>
                <w:szCs w:val="18"/>
                <w:lang w:eastAsia="hr-HR"/>
              </w:rPr>
              <w:t>physical activity behavior. In recent years, the research field has undergone rapid development and has also yielded an increasing</w:t>
            </w:r>
          </w:p>
          <w:p w14:paraId="4DAA2A83" w14:textId="19BA3ED6" w:rsidR="00927DC5" w:rsidRPr="005365AA" w:rsidRDefault="261E737D" w:rsidP="0752BA49">
            <w:pPr>
              <w:spacing w:after="0" w:line="240" w:lineRule="auto"/>
              <w:textAlignment w:val="baseline"/>
              <w:rPr>
                <w:rFonts w:eastAsiaTheme="minorEastAsia"/>
                <w:noProof/>
                <w:sz w:val="18"/>
                <w:szCs w:val="18"/>
                <w:lang w:eastAsia="hr-HR"/>
              </w:rPr>
            </w:pPr>
            <w:r w:rsidRPr="0752BA49">
              <w:rPr>
                <w:rFonts w:eastAsiaTheme="minorEastAsia"/>
                <w:noProof/>
                <w:sz w:val="18"/>
                <w:szCs w:val="18"/>
                <w:lang w:eastAsia="hr-HR"/>
              </w:rPr>
              <w:t>number of interventions that aim to translate the theoretical-philosophical ideas into practical endeavors.</w:t>
            </w:r>
          </w:p>
          <w:p w14:paraId="3F1F0F8E" w14:textId="1984BEED" w:rsidR="00927DC5" w:rsidRPr="005365AA" w:rsidRDefault="261E737D" w:rsidP="0752BA49">
            <w:pPr>
              <w:spacing w:after="0" w:line="240" w:lineRule="auto"/>
              <w:textAlignment w:val="baseline"/>
              <w:rPr>
                <w:rFonts w:eastAsiaTheme="minorEastAsia"/>
                <w:noProof/>
                <w:sz w:val="18"/>
                <w:szCs w:val="18"/>
                <w:lang w:eastAsia="hr-HR"/>
              </w:rPr>
            </w:pPr>
            <w:r w:rsidRPr="0752BA49">
              <w:rPr>
                <w:rFonts w:eastAsiaTheme="minorEastAsia"/>
                <w:b/>
                <w:bCs/>
                <w:noProof/>
                <w:sz w:val="18"/>
                <w:szCs w:val="18"/>
                <w:lang w:eastAsia="hr-HR"/>
              </w:rPr>
              <w:t>Objective</w:t>
            </w:r>
            <w:r w:rsidRPr="0752BA49">
              <w:rPr>
                <w:rFonts w:eastAsiaTheme="minorEastAsia"/>
                <w:noProof/>
                <w:sz w:val="18"/>
                <w:szCs w:val="18"/>
                <w:lang w:eastAsia="hr-HR"/>
              </w:rPr>
              <w:t xml:space="preserve"> The goal of the present pre-registered systematic review was to (a) provide a general overview of evaluation studies</w:t>
            </w:r>
            <w:r w:rsidR="47D00A28" w:rsidRPr="0752BA49">
              <w:rPr>
                <w:rFonts w:eastAsiaTheme="minorEastAsia"/>
                <w:noProof/>
                <w:sz w:val="18"/>
                <w:szCs w:val="18"/>
                <w:lang w:eastAsia="hr-HR"/>
              </w:rPr>
              <w:t xml:space="preserve"> </w:t>
            </w:r>
            <w:r w:rsidRPr="0752BA49">
              <w:rPr>
                <w:rFonts w:eastAsiaTheme="minorEastAsia"/>
                <w:noProof/>
                <w:sz w:val="18"/>
                <w:szCs w:val="18"/>
                <w:lang w:eastAsia="hr-HR"/>
              </w:rPr>
              <w:t>on physical literacy interventions and (b) to quantitatively examine the effectiveness of physical literacy interventions.</w:t>
            </w:r>
          </w:p>
          <w:p w14:paraId="610BFFA5" w14:textId="582D7DC6" w:rsidR="00927DC5" w:rsidRPr="005365AA" w:rsidRDefault="261E737D" w:rsidP="0752BA49">
            <w:pPr>
              <w:spacing w:after="0" w:line="240" w:lineRule="auto"/>
              <w:textAlignment w:val="baseline"/>
              <w:rPr>
                <w:rFonts w:eastAsiaTheme="minorEastAsia"/>
                <w:sz w:val="18"/>
                <w:szCs w:val="18"/>
                <w:lang w:eastAsia="hr-HR"/>
              </w:rPr>
            </w:pPr>
            <w:r w:rsidRPr="0752BA49">
              <w:rPr>
                <w:rFonts w:eastAsiaTheme="minorEastAsia"/>
                <w:b/>
                <w:bCs/>
                <w:noProof/>
                <w:sz w:val="18"/>
                <w:szCs w:val="18"/>
                <w:lang w:eastAsia="hr-HR"/>
              </w:rPr>
              <w:t>Methods</w:t>
            </w:r>
            <w:r w:rsidRPr="0752BA49">
              <w:rPr>
                <w:rFonts w:eastAsiaTheme="minorEastAsia"/>
                <w:noProof/>
                <w:sz w:val="18"/>
                <w:szCs w:val="18"/>
                <w:lang w:eastAsia="hr-HR"/>
              </w:rPr>
              <w:t xml:space="preserve"> Drawing on the 2020 Preferred Reporting Items for Systematic Reviews and Meta-Analyses (PRISMA) guidelines,</w:t>
            </w:r>
            <w:r w:rsidR="59E02317" w:rsidRPr="0752BA49">
              <w:rPr>
                <w:rFonts w:eastAsiaTheme="minorEastAsia"/>
                <w:noProof/>
                <w:sz w:val="18"/>
                <w:szCs w:val="18"/>
                <w:lang w:eastAsia="hr-HR"/>
              </w:rPr>
              <w:t xml:space="preserve"> </w:t>
            </w:r>
            <w:r w:rsidRPr="0752BA49">
              <w:rPr>
                <w:rFonts w:eastAsiaTheme="minorEastAsia"/>
                <w:noProof/>
                <w:sz w:val="18"/>
                <w:szCs w:val="18"/>
                <w:lang w:eastAsia="hr-HR"/>
              </w:rPr>
              <w:t>we searched a total of 18 databases for physical literacy interventions. Inclusion criteria were English language, publication</w:t>
            </w:r>
            <w:r w:rsidR="12AB0D48" w:rsidRPr="0752BA49">
              <w:rPr>
                <w:rFonts w:eastAsiaTheme="minorEastAsia"/>
                <w:noProof/>
                <w:sz w:val="18"/>
                <w:szCs w:val="18"/>
                <w:lang w:eastAsia="hr-HR"/>
              </w:rPr>
              <w:t xml:space="preserve"> </w:t>
            </w:r>
            <w:r w:rsidRPr="0752BA49">
              <w:rPr>
                <w:rFonts w:eastAsiaTheme="minorEastAsia"/>
                <w:sz w:val="18"/>
                <w:szCs w:val="18"/>
                <w:lang w:eastAsia="hr-HR"/>
              </w:rPr>
              <w:t>by November 2021, and interventions using physical literacy as a theoretical underpinning or evaluation outcome. Articles</w:t>
            </w:r>
          </w:p>
          <w:p w14:paraId="6E1EF2CC" w14:textId="5DFDF0C3" w:rsidR="00927DC5" w:rsidRPr="005365AA" w:rsidRDefault="261E737D" w:rsidP="0752BA49">
            <w:pPr>
              <w:spacing w:after="0" w:line="240" w:lineRule="auto"/>
              <w:textAlignment w:val="baseline"/>
              <w:rPr>
                <w:rFonts w:eastAsiaTheme="minorEastAsia"/>
                <w:noProof/>
                <w:sz w:val="18"/>
                <w:szCs w:val="18"/>
                <w:lang w:val="en-US" w:eastAsia="hr-HR"/>
              </w:rPr>
            </w:pPr>
            <w:bookmarkStart w:id="0" w:name="_Int_YpR9GYFY"/>
            <w:r w:rsidRPr="0752BA49">
              <w:rPr>
                <w:rFonts w:eastAsiaTheme="minorEastAsia"/>
                <w:sz w:val="18"/>
                <w:szCs w:val="18"/>
                <w:lang w:val="en-US" w:eastAsia="hr-HR"/>
              </w:rPr>
              <w:t>that</w:t>
            </w:r>
            <w:bookmarkEnd w:id="0"/>
            <w:r w:rsidRPr="0752BA49">
              <w:rPr>
                <w:rFonts w:eastAsiaTheme="minorEastAsia"/>
                <w:sz w:val="18"/>
                <w:szCs w:val="18"/>
                <w:lang w:val="en-US" w:eastAsia="hr-HR"/>
              </w:rPr>
              <w:t xml:space="preserve"> met these criteria were analyzed with respect to their basic delivery characteristics, study quality, evaluation approach,</w:t>
            </w:r>
            <w:r w:rsidR="282B063C" w:rsidRPr="0752BA49">
              <w:rPr>
                <w:rFonts w:eastAsiaTheme="minorEastAsia"/>
                <w:sz w:val="18"/>
                <w:szCs w:val="18"/>
                <w:lang w:val="en-US" w:eastAsia="hr-HR"/>
              </w:rPr>
              <w:t xml:space="preserve"> </w:t>
            </w:r>
            <w:r w:rsidRPr="0752BA49">
              <w:rPr>
                <w:rFonts w:eastAsiaTheme="minorEastAsia"/>
                <w:noProof/>
                <w:sz w:val="18"/>
                <w:szCs w:val="18"/>
                <w:lang w:val="en-US" w:eastAsia="hr-HR"/>
              </w:rPr>
              <w:t>and main findings. We additionally ran meta-analyses with all non-randomized and randomized controlled trials to examine</w:t>
            </w:r>
            <w:r w:rsidR="2918428E" w:rsidRPr="0752BA49">
              <w:rPr>
                <w:rFonts w:eastAsiaTheme="minorEastAsia"/>
                <w:noProof/>
                <w:sz w:val="18"/>
                <w:szCs w:val="18"/>
                <w:lang w:val="en-US" w:eastAsia="hr-HR"/>
              </w:rPr>
              <w:t xml:space="preserve"> </w:t>
            </w:r>
            <w:r w:rsidRPr="0752BA49">
              <w:rPr>
                <w:rFonts w:eastAsiaTheme="minorEastAsia"/>
                <w:noProof/>
                <w:sz w:val="18"/>
                <w:szCs w:val="18"/>
                <w:lang w:val="en-US" w:eastAsia="hr-HR"/>
              </w:rPr>
              <w:t>and compare the effect of these interventions on five outcome categories: (i) physical competence, (ii) motivation and confidence,</w:t>
            </w:r>
            <w:r w:rsidR="0D9E3D25" w:rsidRPr="0752BA49">
              <w:rPr>
                <w:rFonts w:eastAsiaTheme="minorEastAsia"/>
                <w:noProof/>
                <w:sz w:val="18"/>
                <w:szCs w:val="18"/>
                <w:lang w:val="en-US" w:eastAsia="hr-HR"/>
              </w:rPr>
              <w:t xml:space="preserve"> (</w:t>
            </w:r>
            <w:r w:rsidRPr="0752BA49">
              <w:rPr>
                <w:rFonts w:eastAsiaTheme="minorEastAsia"/>
                <w:noProof/>
                <w:sz w:val="18"/>
                <w:szCs w:val="18"/>
                <w:lang w:val="en-US" w:eastAsia="hr-HR"/>
              </w:rPr>
              <w:t>iii) knowledge and understanding, (iv) physical activity behavior, and (v) total physical literacy. Standardized mean</w:t>
            </w:r>
            <w:r w:rsidR="35D39A11" w:rsidRPr="0752BA49">
              <w:rPr>
                <w:rFonts w:eastAsiaTheme="minorEastAsia"/>
                <w:noProof/>
                <w:sz w:val="18"/>
                <w:szCs w:val="18"/>
                <w:lang w:val="en-US" w:eastAsia="hr-HR"/>
              </w:rPr>
              <w:t xml:space="preserve"> d</w:t>
            </w:r>
            <w:r w:rsidRPr="0752BA49">
              <w:rPr>
                <w:rFonts w:eastAsiaTheme="minorEastAsia"/>
                <w:noProof/>
                <w:sz w:val="18"/>
                <w:szCs w:val="18"/>
                <w:lang w:val="en-US" w:eastAsia="hr-HR"/>
              </w:rPr>
              <w:t>ifferences (SMDs) with 95% confidence intervals (CIs) were calculated to assess the effects on the different categories.</w:t>
            </w:r>
          </w:p>
          <w:p w14:paraId="3226F846" w14:textId="15953764" w:rsidR="00927DC5" w:rsidRPr="005365AA" w:rsidRDefault="261E737D"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Results </w:t>
            </w:r>
            <w:r w:rsidRPr="0752BA49">
              <w:rPr>
                <w:rFonts w:eastAsiaTheme="minorEastAsia"/>
                <w:noProof/>
                <w:sz w:val="18"/>
                <w:szCs w:val="18"/>
                <w:lang w:val="en-US" w:eastAsia="hr-HR"/>
              </w:rPr>
              <w:t>The screening process with two independent raters yielded 48 eligible interventions reported in 51 eligible articles.</w:t>
            </w:r>
          </w:p>
          <w:p w14:paraId="6D92114B" w14:textId="1939B88F" w:rsidR="00927DC5" w:rsidRPr="005365AA" w:rsidRDefault="261E737D"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Quantitative evaluations most frequently addressed physical competence (72.2%), followed by motivation and confidence</w:t>
            </w:r>
            <w:r w:rsidR="54482C70" w:rsidRPr="0752BA49">
              <w:rPr>
                <w:rFonts w:eastAsiaTheme="minorEastAsia"/>
                <w:noProof/>
                <w:sz w:val="18"/>
                <w:szCs w:val="18"/>
                <w:lang w:val="en-US" w:eastAsia="hr-HR"/>
              </w:rPr>
              <w:t xml:space="preserve"> (</w:t>
            </w:r>
            <w:r w:rsidRPr="0752BA49">
              <w:rPr>
                <w:rFonts w:eastAsiaTheme="minorEastAsia"/>
                <w:noProof/>
                <w:sz w:val="18"/>
                <w:szCs w:val="18"/>
                <w:lang w:val="en-US" w:eastAsia="hr-HR"/>
              </w:rPr>
              <w:t>47.2%), physical activity behavior (41.7%), and knowledge and understanding (33.3%). The controlled intervention studies</w:t>
            </w:r>
            <w:r w:rsidR="4A68630D" w:rsidRPr="0752BA49">
              <w:rPr>
                <w:rFonts w:eastAsiaTheme="minorEastAsia"/>
                <w:noProof/>
                <w:sz w:val="18"/>
                <w:szCs w:val="18"/>
                <w:lang w:val="en-US" w:eastAsia="hr-HR"/>
              </w:rPr>
              <w:t xml:space="preserve"> (</w:t>
            </w:r>
            <w:r w:rsidRPr="0752BA49">
              <w:rPr>
                <w:rFonts w:eastAsiaTheme="minorEastAsia"/>
                <w:noProof/>
                <w:sz w:val="18"/>
                <w:szCs w:val="18"/>
                <w:lang w:val="en-US" w:eastAsia="hr-HR"/>
              </w:rPr>
              <w:t>n = 24) exerted significant effects on all five physical literacy categories. Despite meaningful heterogeneity across the</w:t>
            </w:r>
            <w:r w:rsidR="090F4013" w:rsidRPr="0752BA49">
              <w:rPr>
                <w:rFonts w:eastAsiaTheme="minorEastAsia"/>
                <w:noProof/>
                <w:sz w:val="18"/>
                <w:szCs w:val="18"/>
                <w:lang w:val="en-US" w:eastAsia="hr-HR"/>
              </w:rPr>
              <w:t xml:space="preserve"> s</w:t>
            </w:r>
            <w:r w:rsidRPr="0752BA49">
              <w:rPr>
                <w:rFonts w:eastAsiaTheme="minorEastAsia"/>
                <w:noProof/>
                <w:sz w:val="18"/>
                <w:szCs w:val="18"/>
                <w:lang w:val="en-US" w:eastAsia="hr-HR"/>
              </w:rPr>
              <w:t>ubgroups, the strongest effects were found for physical competence (SMD 0.90; 95% CI 0.55–1.25), followed by physical</w:t>
            </w:r>
            <w:r w:rsidR="15571037" w:rsidRPr="0752BA49">
              <w:rPr>
                <w:rFonts w:eastAsiaTheme="minorEastAsia"/>
                <w:noProof/>
                <w:sz w:val="18"/>
                <w:szCs w:val="18"/>
                <w:lang w:val="en-US" w:eastAsia="hr-HR"/>
              </w:rPr>
              <w:t xml:space="preserve"> l</w:t>
            </w:r>
            <w:r w:rsidRPr="0752BA49">
              <w:rPr>
                <w:rFonts w:eastAsiaTheme="minorEastAsia"/>
                <w:noProof/>
                <w:sz w:val="18"/>
                <w:szCs w:val="18"/>
                <w:lang w:val="en-US" w:eastAsia="hr-HR"/>
              </w:rPr>
              <w:t>iteracy aggregate scores (SMD 0.61; 95% CI 0.20–1.01), knowledge and understanding (SMD 0.54; 95% CI 0.30–0.79),</w:t>
            </w:r>
          </w:p>
          <w:p w14:paraId="1D633CA2" w14:textId="781F3610" w:rsidR="00927DC5" w:rsidRPr="005365AA" w:rsidRDefault="261E737D"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physical activity behavior (SMD 0.39; 95% CI 0.23–0.55), and motivation and confidence (SMD 0.30; 95% CI 0.17–0.44).</w:t>
            </w:r>
          </w:p>
          <w:p w14:paraId="07D73FC0" w14:textId="08A66DB5" w:rsidR="00927DC5" w:rsidRPr="005365AA" w:rsidRDefault="261E737D" w:rsidP="0752BA49">
            <w:pPr>
              <w:spacing w:after="0" w:line="240" w:lineRule="auto"/>
              <w:textAlignment w:val="baseline"/>
              <w:rPr>
                <w:rFonts w:eastAsiaTheme="minorEastAsia"/>
                <w:sz w:val="18"/>
                <w:szCs w:val="18"/>
                <w:lang w:val="en-US" w:eastAsia="hr-HR"/>
              </w:rPr>
            </w:pPr>
            <w:r w:rsidRPr="0752BA49">
              <w:rPr>
                <w:rFonts w:eastAsiaTheme="minorEastAsia"/>
                <w:b/>
                <w:bCs/>
                <w:noProof/>
                <w:sz w:val="18"/>
                <w:szCs w:val="18"/>
                <w:lang w:val="en-US" w:eastAsia="hr-HR"/>
              </w:rPr>
              <w:t xml:space="preserve">Conclusions </w:t>
            </w:r>
            <w:r w:rsidRPr="0752BA49">
              <w:rPr>
                <w:rFonts w:eastAsiaTheme="minorEastAsia"/>
                <w:noProof/>
                <w:sz w:val="18"/>
                <w:szCs w:val="18"/>
                <w:lang w:val="en-US" w:eastAsia="hr-HR"/>
              </w:rPr>
              <w:t>The present study empirically demonstrated the effectiveness of physical literacy interventions on several</w:t>
            </w:r>
            <w:r w:rsidR="38EE736A" w:rsidRPr="0752BA49">
              <w:rPr>
                <w:rFonts w:eastAsiaTheme="minorEastAsia"/>
                <w:noProof/>
                <w:sz w:val="18"/>
                <w:szCs w:val="18"/>
                <w:lang w:val="en-US" w:eastAsia="hr-HR"/>
              </w:rPr>
              <w:t xml:space="preserve"> o</w:t>
            </w:r>
            <w:r w:rsidRPr="0752BA49">
              <w:rPr>
                <w:rFonts w:eastAsiaTheme="minorEastAsia"/>
                <w:noProof/>
                <w:sz w:val="18"/>
                <w:szCs w:val="18"/>
                <w:lang w:val="en-US" w:eastAsia="hr-HR"/>
              </w:rPr>
              <w:t xml:space="preserve">utcomes relevant for promoting physical activity and health. To better inform current practices, future studies are advised </w:t>
            </w:r>
            <w:r w:rsidR="7C8F7C76" w:rsidRPr="0752BA49">
              <w:rPr>
                <w:rFonts w:eastAsiaTheme="minorEastAsia"/>
                <w:noProof/>
                <w:sz w:val="18"/>
                <w:szCs w:val="18"/>
                <w:lang w:val="en-US" w:eastAsia="hr-HR"/>
              </w:rPr>
              <w:t>to</w:t>
            </w:r>
            <w:r w:rsidRPr="0752BA49">
              <w:rPr>
                <w:rFonts w:eastAsiaTheme="minorEastAsia"/>
                <w:noProof/>
                <w:sz w:val="18"/>
                <w:szCs w:val="18"/>
                <w:lang w:val="en-US" w:eastAsia="hr-HR"/>
              </w:rPr>
              <w:t xml:space="preserve"> identify those program characteristics</w:t>
            </w:r>
            <w:r w:rsidRPr="0752BA49">
              <w:rPr>
                <w:rFonts w:eastAsiaTheme="minorEastAsia"/>
                <w:sz w:val="18"/>
                <w:szCs w:val="18"/>
                <w:lang w:val="en-US" w:eastAsia="hr-HR"/>
              </w:rPr>
              <w:t xml:space="preserve"> </w:t>
            </w:r>
            <w:bookmarkStart w:id="1" w:name="_Int_dZQJPRXT"/>
            <w:r w:rsidRPr="0752BA49">
              <w:rPr>
                <w:rFonts w:eastAsiaTheme="minorEastAsia"/>
                <w:sz w:val="18"/>
                <w:szCs w:val="18"/>
                <w:lang w:val="en-US" w:eastAsia="hr-HR"/>
              </w:rPr>
              <w:t>that</w:t>
            </w:r>
            <w:bookmarkEnd w:id="1"/>
            <w:r w:rsidRPr="0752BA49">
              <w:rPr>
                <w:rFonts w:eastAsiaTheme="minorEastAsia"/>
                <w:sz w:val="18"/>
                <w:szCs w:val="18"/>
                <w:lang w:val="en-US" w:eastAsia="hr-HR"/>
              </w:rPr>
              <w:t xml:space="preserve"> significantly </w:t>
            </w:r>
            <w:bookmarkStart w:id="2" w:name="_Int_lieTBBNF"/>
            <w:r w:rsidRPr="0752BA49">
              <w:rPr>
                <w:rFonts w:eastAsiaTheme="minorEastAsia"/>
                <w:sz w:val="18"/>
                <w:szCs w:val="18"/>
                <w:lang w:val="en-US" w:eastAsia="hr-HR"/>
              </w:rPr>
              <w:t>influence</w:t>
            </w:r>
            <w:bookmarkEnd w:id="2"/>
            <w:r w:rsidRPr="0752BA49">
              <w:rPr>
                <w:rFonts w:eastAsiaTheme="minorEastAsia"/>
                <w:sz w:val="18"/>
                <w:szCs w:val="18"/>
                <w:lang w:val="en-US" w:eastAsia="hr-HR"/>
              </w:rPr>
              <w:t xml:space="preserve"> the effectiveness of physical literacy interventions.</w:t>
            </w:r>
          </w:p>
        </w:tc>
      </w:tr>
      <w:tr w:rsidR="00927DC5" w:rsidRPr="005365AA" w14:paraId="4A9F391F" w14:textId="77777777" w:rsidTr="0752BA49">
        <w:trPr>
          <w:trHeight w:val="300"/>
        </w:trPr>
        <w:tc>
          <w:tcPr>
            <w:tcW w:w="3315" w:type="dxa"/>
            <w:hideMark/>
          </w:tcPr>
          <w:p w14:paraId="32C298B4"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6E68EED4" w14:textId="77777777" w:rsidR="00927DC5" w:rsidRPr="005365AA" w:rsidRDefault="00927DC5" w:rsidP="0752BA49">
            <w:pPr>
              <w:spacing w:after="0" w:line="240" w:lineRule="auto"/>
              <w:textAlignment w:val="baseline"/>
              <w:rPr>
                <w:rFonts w:eastAsiaTheme="minorEastAsia"/>
                <w:sz w:val="18"/>
                <w:szCs w:val="18"/>
                <w:lang w:eastAsia="hr-HR"/>
              </w:rPr>
            </w:pPr>
          </w:p>
        </w:tc>
      </w:tr>
      <w:tr w:rsidR="00927DC5" w:rsidRPr="005365AA" w14:paraId="32A2C7E9" w14:textId="77777777" w:rsidTr="0752BA49">
        <w:trPr>
          <w:trHeight w:val="300"/>
        </w:trPr>
        <w:tc>
          <w:tcPr>
            <w:tcW w:w="3315" w:type="dxa"/>
            <w:hideMark/>
          </w:tcPr>
          <w:p w14:paraId="595F28B6"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32A9AEC7" w14:textId="3C1CC60E" w:rsidR="00927DC5" w:rsidRPr="005365AA" w:rsidRDefault="430FAF02" w:rsidP="0752BA49">
            <w:pPr>
              <w:spacing w:after="0" w:line="240" w:lineRule="auto"/>
              <w:textAlignment w:val="baseline"/>
              <w:rPr>
                <w:rFonts w:eastAsiaTheme="minorEastAsia"/>
                <w:sz w:val="18"/>
                <w:szCs w:val="18"/>
                <w:lang w:val="hr"/>
              </w:rPr>
            </w:pPr>
            <w:r w:rsidRPr="0752BA49">
              <w:rPr>
                <w:rFonts w:eastAsiaTheme="minorEastAsia"/>
                <w:sz w:val="18"/>
                <w:szCs w:val="18"/>
                <w:lang w:eastAsia="hr-HR"/>
              </w:rPr>
              <w:t xml:space="preserve"> </w:t>
            </w:r>
            <w:r w:rsidR="3623AE3F" w:rsidRPr="0752BA49">
              <w:rPr>
                <w:rFonts w:eastAsiaTheme="minorEastAsia"/>
                <w:sz w:val="18"/>
                <w:szCs w:val="18"/>
                <w:lang w:val="hr"/>
              </w:rPr>
              <w:t xml:space="preserve">Cilj ovog preglednog rada s meta-analizom bio je (a) pružiti opći pregled evaluacijskih studija o intervencijama tjelesne pismenosti i (b) kvantitativno ispitati učinkovitost intervencija tjelesne pismenosti. </w:t>
            </w:r>
          </w:p>
        </w:tc>
      </w:tr>
      <w:tr w:rsidR="00927DC5" w:rsidRPr="005365AA" w14:paraId="75A42774" w14:textId="77777777" w:rsidTr="0752BA49">
        <w:trPr>
          <w:trHeight w:val="300"/>
        </w:trPr>
        <w:tc>
          <w:tcPr>
            <w:tcW w:w="3315" w:type="dxa"/>
            <w:hideMark/>
          </w:tcPr>
          <w:p w14:paraId="29DBF14A"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75C46DD6"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221E4684" w14:textId="34D968BC" w:rsidR="00927DC5" w:rsidRPr="005365AA" w:rsidRDefault="5ABDD893"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Evaluacijske studije nisu podjednako razmatrale različite domene tjelesne pismenosti (najviše razmatrana tjelesna domena); afektivni, bihevioralni i kognitivni</w:t>
            </w:r>
            <w:r w:rsidR="48BC5E53" w:rsidRPr="0752BA49">
              <w:rPr>
                <w:rFonts w:eastAsiaTheme="minorEastAsia"/>
                <w:sz w:val="18"/>
                <w:szCs w:val="18"/>
                <w:lang w:val="hr"/>
              </w:rPr>
              <w:t xml:space="preserve"> p</w:t>
            </w:r>
            <w:r w:rsidRPr="0752BA49">
              <w:rPr>
                <w:rFonts w:eastAsiaTheme="minorEastAsia"/>
                <w:sz w:val="18"/>
                <w:szCs w:val="18"/>
                <w:lang w:val="hr"/>
              </w:rPr>
              <w:t>okazatelji trebali bi se sustavnije integrirati.</w:t>
            </w:r>
            <w:r w:rsidR="488988C5">
              <w:br/>
            </w:r>
            <w:r w:rsidRPr="0752BA49">
              <w:rPr>
                <w:rFonts w:eastAsiaTheme="minorEastAsia"/>
                <w:sz w:val="18"/>
                <w:szCs w:val="18"/>
                <w:lang w:val="hr"/>
              </w:rPr>
              <w:t>Veličine učinka nisu se značajno razlikovale između randomiziranih</w:t>
            </w:r>
            <w:r w:rsidR="488988C5">
              <w:br/>
            </w:r>
            <w:r w:rsidRPr="0752BA49">
              <w:rPr>
                <w:rFonts w:eastAsiaTheme="minorEastAsia"/>
                <w:sz w:val="18"/>
                <w:szCs w:val="18"/>
                <w:lang w:val="hr"/>
              </w:rPr>
              <w:t xml:space="preserve">i nerandomiziranih kontroliranih </w:t>
            </w:r>
            <w:r w:rsidR="6C23428E" w:rsidRPr="0752BA49">
              <w:rPr>
                <w:rFonts w:eastAsiaTheme="minorEastAsia"/>
                <w:sz w:val="18"/>
                <w:szCs w:val="18"/>
                <w:lang w:val="hr"/>
              </w:rPr>
              <w:t>studija</w:t>
            </w:r>
            <w:r w:rsidRPr="0752BA49">
              <w:rPr>
                <w:rFonts w:eastAsiaTheme="minorEastAsia"/>
                <w:sz w:val="18"/>
                <w:szCs w:val="18"/>
                <w:lang w:val="hr"/>
              </w:rPr>
              <w:t>.</w:t>
            </w:r>
            <w:r w:rsidR="488988C5">
              <w:br/>
            </w:r>
            <w:r w:rsidRPr="0752BA49">
              <w:rPr>
                <w:rFonts w:eastAsiaTheme="minorEastAsia"/>
                <w:sz w:val="18"/>
                <w:szCs w:val="18"/>
                <w:lang w:val="hr"/>
              </w:rPr>
              <w:t>Intervencije su imale značajne učinke na sve glavne</w:t>
            </w:r>
            <w:r w:rsidR="42389DA7" w:rsidRPr="0752BA49">
              <w:rPr>
                <w:rFonts w:eastAsiaTheme="minorEastAsia"/>
                <w:sz w:val="18"/>
                <w:szCs w:val="18"/>
                <w:lang w:val="hr"/>
              </w:rPr>
              <w:t xml:space="preserve"> </w:t>
            </w:r>
            <w:r w:rsidRPr="0752BA49">
              <w:rPr>
                <w:rFonts w:eastAsiaTheme="minorEastAsia"/>
                <w:sz w:val="18"/>
                <w:szCs w:val="18"/>
                <w:lang w:val="hr"/>
              </w:rPr>
              <w:t>ishode tjelesne pismenosti; međutim, na</w:t>
            </w:r>
            <w:r w:rsidR="5EA49DF6" w:rsidRPr="0752BA49">
              <w:rPr>
                <w:rFonts w:eastAsiaTheme="minorEastAsia"/>
                <w:sz w:val="18"/>
                <w:szCs w:val="18"/>
                <w:lang w:val="hr"/>
              </w:rPr>
              <w:t>jveći</w:t>
            </w:r>
            <w:r w:rsidR="3A9903A3" w:rsidRPr="0752BA49">
              <w:rPr>
                <w:rFonts w:eastAsiaTheme="minorEastAsia"/>
                <w:sz w:val="18"/>
                <w:szCs w:val="18"/>
                <w:lang w:val="hr"/>
              </w:rPr>
              <w:t xml:space="preserve"> </w:t>
            </w:r>
            <w:r w:rsidRPr="0752BA49">
              <w:rPr>
                <w:rFonts w:eastAsiaTheme="minorEastAsia"/>
                <w:sz w:val="18"/>
                <w:szCs w:val="18"/>
                <w:lang w:val="hr"/>
              </w:rPr>
              <w:t>učinci pronađeni su za tjelesne ishode, a zatim</w:t>
            </w:r>
            <w:r w:rsidR="488988C5">
              <w:br/>
            </w:r>
            <w:r w:rsidRPr="0752BA49">
              <w:rPr>
                <w:rFonts w:eastAsiaTheme="minorEastAsia"/>
                <w:sz w:val="18"/>
                <w:szCs w:val="18"/>
                <w:lang w:val="hr"/>
              </w:rPr>
              <w:t>(u silaznom redoslijedu) za kognitivne, bihevioralne i afektivne</w:t>
            </w:r>
            <w:r w:rsidR="3B43C921" w:rsidRPr="0752BA49">
              <w:rPr>
                <w:rFonts w:eastAsiaTheme="minorEastAsia"/>
                <w:sz w:val="18"/>
                <w:szCs w:val="18"/>
                <w:lang w:val="hr"/>
              </w:rPr>
              <w:t xml:space="preserve"> </w:t>
            </w:r>
            <w:r w:rsidRPr="0752BA49">
              <w:rPr>
                <w:rFonts w:eastAsiaTheme="minorEastAsia"/>
                <w:sz w:val="18"/>
                <w:szCs w:val="18"/>
                <w:lang w:val="hr"/>
              </w:rPr>
              <w:t>ishode.</w:t>
            </w:r>
          </w:p>
          <w:p w14:paraId="0BB68F4D" w14:textId="4A38963E" w:rsidR="00927DC5" w:rsidRPr="005365AA" w:rsidRDefault="7F2C2E91" w:rsidP="0752BA49">
            <w:pPr>
              <w:spacing w:after="0" w:line="240" w:lineRule="auto"/>
              <w:textAlignment w:val="baseline"/>
              <w:rPr>
                <w:rFonts w:eastAsiaTheme="minorEastAsia"/>
                <w:sz w:val="18"/>
                <w:szCs w:val="18"/>
              </w:rPr>
            </w:pPr>
            <w:r w:rsidRPr="0752BA49">
              <w:rPr>
                <w:rFonts w:eastAsiaTheme="minorEastAsia"/>
                <w:sz w:val="18"/>
                <w:szCs w:val="18"/>
                <w:lang w:val="hr"/>
              </w:rPr>
              <w:t>U budućnosti bi istraživanje trebalo biti usmjereno na identificiranje onih karakteristika programa (moderatora) koji značajno utječu na učinkovitost intervencija za poboljšanje tjelesne pismenosti.</w:t>
            </w:r>
          </w:p>
        </w:tc>
      </w:tr>
      <w:tr w:rsidR="00927DC5" w:rsidRPr="005365AA" w14:paraId="0BE60117" w14:textId="77777777" w:rsidTr="0752BA49">
        <w:trPr>
          <w:trHeight w:val="300"/>
        </w:trPr>
        <w:tc>
          <w:tcPr>
            <w:tcW w:w="3315" w:type="dxa"/>
            <w:hideMark/>
          </w:tcPr>
          <w:p w14:paraId="358A8CF8"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1F4EDB70"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606CFAFE" w14:textId="2752EB97" w:rsidR="00927DC5" w:rsidRPr="005365AA" w:rsidRDefault="47DB4F45"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Meta-analiza pokazuje nedovoljan broj intervencija u kojima se tjelesna pismenost procjenjuje holistički. </w:t>
            </w:r>
          </w:p>
          <w:p w14:paraId="2F452D42" w14:textId="5FE031F0" w:rsidR="00927DC5" w:rsidRPr="005365AA" w:rsidRDefault="71293BEF"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Iz navedenog rada možemo izvući intervencije s najvećim učinkom na TP kod djece i mladih</w:t>
            </w:r>
            <w:r w:rsidR="4CDAC1A2" w:rsidRPr="0752BA49">
              <w:rPr>
                <w:rFonts w:eastAsiaTheme="minorEastAsia"/>
                <w:sz w:val="18"/>
                <w:szCs w:val="18"/>
                <w:lang w:val="hr"/>
              </w:rPr>
              <w:t xml:space="preserve">. </w:t>
            </w:r>
          </w:p>
        </w:tc>
      </w:tr>
      <w:tr w:rsidR="00927DC5" w:rsidRPr="005365AA" w14:paraId="314F1AE2" w14:textId="77777777" w:rsidTr="0752BA49">
        <w:trPr>
          <w:trHeight w:val="300"/>
        </w:trPr>
        <w:tc>
          <w:tcPr>
            <w:tcW w:w="3315" w:type="dxa"/>
            <w:hideMark/>
          </w:tcPr>
          <w:p w14:paraId="11C4871B"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3B7FCFAE"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16C20D51" w14:textId="42C70D51" w:rsidR="00927DC5" w:rsidRDefault="00927DC5"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6"/>
        <w:gridCol w:w="6616"/>
      </w:tblGrid>
      <w:tr w:rsidR="00927DC5" w:rsidRPr="005365AA" w14:paraId="316C247F" w14:textId="77777777" w:rsidTr="0752BA49">
        <w:trPr>
          <w:trHeight w:val="300"/>
        </w:trPr>
        <w:tc>
          <w:tcPr>
            <w:tcW w:w="3315" w:type="dxa"/>
            <w:hideMark/>
          </w:tcPr>
          <w:p w14:paraId="40E865DD" w14:textId="3135FB7B"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2E98A7DA" w14:textId="2B8961B8" w:rsidR="00927DC5" w:rsidRPr="005365AA" w:rsidRDefault="197E7546" w:rsidP="0752BA49">
            <w:pPr>
              <w:spacing w:after="0" w:line="240" w:lineRule="auto"/>
              <w:textAlignment w:val="baseline"/>
              <w:rPr>
                <w:rFonts w:eastAsiaTheme="minorEastAsia"/>
                <w:b/>
                <w:bCs/>
                <w:sz w:val="18"/>
                <w:szCs w:val="18"/>
                <w:lang w:val="en-US"/>
              </w:rPr>
            </w:pPr>
            <w:r w:rsidRPr="0752BA49">
              <w:rPr>
                <w:rFonts w:eastAsiaTheme="minorEastAsia"/>
                <w:b/>
                <w:bCs/>
                <w:sz w:val="18"/>
                <w:szCs w:val="18"/>
                <w:lang w:eastAsia="hr-HR"/>
              </w:rPr>
              <w:t xml:space="preserve"> </w:t>
            </w:r>
            <w:r w:rsidR="07C10E58" w:rsidRPr="0752BA49">
              <w:rPr>
                <w:rFonts w:eastAsiaTheme="minorEastAsia"/>
                <w:sz w:val="18"/>
                <w:szCs w:val="18"/>
                <w:lang w:val="en-US"/>
              </w:rPr>
              <w:t xml:space="preserve">Carl, J., Barratt, J., Töpfer, C., Cairney, J., &amp; Pfeifer, K. (2021). How are physical literacy interventions conceptualized? A systematic review on theory, design, and content: Oral Presentation B3.5. </w:t>
            </w:r>
            <w:r w:rsidR="07C10E58" w:rsidRPr="0752BA49">
              <w:rPr>
                <w:rFonts w:eastAsiaTheme="minorEastAsia"/>
                <w:i/>
                <w:iCs/>
                <w:sz w:val="18"/>
                <w:szCs w:val="18"/>
                <w:lang w:val="en-US"/>
              </w:rPr>
              <w:t>The Health &amp; Fitness Journal of Canada</w:t>
            </w:r>
            <w:r w:rsidR="07C10E58" w:rsidRPr="0752BA49">
              <w:rPr>
                <w:rFonts w:eastAsiaTheme="minorEastAsia"/>
                <w:sz w:val="18"/>
                <w:szCs w:val="18"/>
                <w:lang w:val="en-US"/>
              </w:rPr>
              <w:t xml:space="preserve">, </w:t>
            </w:r>
            <w:r w:rsidR="07C10E58" w:rsidRPr="0752BA49">
              <w:rPr>
                <w:rFonts w:eastAsiaTheme="minorEastAsia"/>
                <w:i/>
                <w:iCs/>
                <w:sz w:val="18"/>
                <w:szCs w:val="18"/>
                <w:lang w:val="en-US"/>
              </w:rPr>
              <w:t>14</w:t>
            </w:r>
            <w:r w:rsidR="07C10E58" w:rsidRPr="0752BA49">
              <w:rPr>
                <w:rFonts w:eastAsiaTheme="minorEastAsia"/>
                <w:sz w:val="18"/>
                <w:szCs w:val="18"/>
                <w:lang w:val="en-US"/>
              </w:rPr>
              <w:t>(3). https://doi.org/10.14288/hfjc.v14i3.498</w:t>
            </w:r>
          </w:p>
        </w:tc>
      </w:tr>
      <w:tr w:rsidR="00927DC5" w:rsidRPr="005365AA" w14:paraId="5A53F48C" w14:textId="77777777" w:rsidTr="0752BA49">
        <w:trPr>
          <w:trHeight w:val="300"/>
        </w:trPr>
        <w:tc>
          <w:tcPr>
            <w:tcW w:w="3315" w:type="dxa"/>
            <w:hideMark/>
          </w:tcPr>
          <w:p w14:paraId="1CC0EEDC"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309835C8" w14:textId="52A2B5A5" w:rsidR="00927DC5" w:rsidRPr="005365AA" w:rsidRDefault="43F4803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w:t>
            </w:r>
            <w:hyperlink r:id="rId14">
              <w:r w:rsidR="1FCB6248" w:rsidRPr="0752BA49">
                <w:rPr>
                  <w:rStyle w:val="Hiperveza"/>
                  <w:rFonts w:eastAsiaTheme="minorEastAsia"/>
                  <w:sz w:val="18"/>
                  <w:szCs w:val="18"/>
                  <w:lang w:eastAsia="hr-HR"/>
                </w:rPr>
                <w:t>https://doi.org/10.1016/j.psychsport.2021.102091</w:t>
              </w:r>
            </w:hyperlink>
            <w:r w:rsidR="1FCB6248" w:rsidRPr="0752BA49">
              <w:rPr>
                <w:rFonts w:eastAsiaTheme="minorEastAsia"/>
                <w:sz w:val="18"/>
                <w:szCs w:val="18"/>
                <w:lang w:eastAsia="hr-HR"/>
              </w:rPr>
              <w:t xml:space="preserve"> </w:t>
            </w:r>
          </w:p>
        </w:tc>
      </w:tr>
      <w:tr w:rsidR="00927DC5" w:rsidRPr="005365AA" w14:paraId="7C9C7156" w14:textId="77777777" w:rsidTr="0752BA49">
        <w:trPr>
          <w:trHeight w:val="300"/>
        </w:trPr>
        <w:tc>
          <w:tcPr>
            <w:tcW w:w="3315" w:type="dxa"/>
            <w:hideMark/>
          </w:tcPr>
          <w:p w14:paraId="61D99638"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7364C9BE" w14:textId="5C875304" w:rsidR="00927DC5" w:rsidRPr="005365AA" w:rsidRDefault="7627E988"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Tjelesna pismenost</w:t>
            </w:r>
          </w:p>
        </w:tc>
      </w:tr>
      <w:tr w:rsidR="00927DC5" w:rsidRPr="005365AA" w14:paraId="00AA699F" w14:textId="77777777" w:rsidTr="0752BA49">
        <w:trPr>
          <w:trHeight w:val="300"/>
        </w:trPr>
        <w:tc>
          <w:tcPr>
            <w:tcW w:w="3315" w:type="dxa"/>
          </w:tcPr>
          <w:p w14:paraId="18B4DF10"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6DDE3529" w14:textId="558649EF" w:rsidR="00927DC5" w:rsidRPr="005365AA" w:rsidRDefault="605AC1F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Ana Đerek</w:t>
            </w:r>
          </w:p>
        </w:tc>
      </w:tr>
      <w:tr w:rsidR="00927DC5" w:rsidRPr="005365AA" w14:paraId="0B44725A" w14:textId="77777777" w:rsidTr="0752BA49">
        <w:trPr>
          <w:trHeight w:val="300"/>
        </w:trPr>
        <w:tc>
          <w:tcPr>
            <w:tcW w:w="3315" w:type="dxa"/>
            <w:hideMark/>
          </w:tcPr>
          <w:p w14:paraId="24A2B8D4"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11995C1C"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436F5AE7"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21FF1F02"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53554BAB"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76586838" w14:textId="730C80D8" w:rsidR="00927DC5" w:rsidRPr="005365AA" w:rsidRDefault="764D0D24"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p>
          <w:p w14:paraId="202BB627" w14:textId="1629937A" w:rsidR="00927DC5" w:rsidRPr="005365AA" w:rsidRDefault="00927DC5" w:rsidP="0752BA49">
            <w:pPr>
              <w:spacing w:after="0" w:line="240" w:lineRule="exact"/>
              <w:textAlignment w:val="baseline"/>
              <w:rPr>
                <w:rFonts w:eastAsiaTheme="minorEastAsia"/>
                <w:b/>
                <w:bCs/>
                <w:color w:val="4472C4" w:themeColor="accent1"/>
                <w:sz w:val="18"/>
                <w:szCs w:val="18"/>
                <w:lang w:eastAsia="hr-HR"/>
              </w:rPr>
            </w:pPr>
          </w:p>
          <w:p w14:paraId="0A44C4F4" w14:textId="614EF11A" w:rsidR="00927DC5" w:rsidRPr="005365AA" w:rsidRDefault="713A3505"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 xml:space="preserve">   </w:t>
            </w:r>
            <w:r w:rsidR="764D0D24" w:rsidRPr="0752BA49">
              <w:rPr>
                <w:rFonts w:eastAsiaTheme="minorEastAsia"/>
                <w:b/>
                <w:bCs/>
                <w:color w:val="4472C4" w:themeColor="accent1"/>
                <w:sz w:val="18"/>
                <w:szCs w:val="18"/>
                <w:lang w:eastAsia="hr-HR"/>
              </w:rPr>
              <w:t>2</w:t>
            </w:r>
          </w:p>
        </w:tc>
      </w:tr>
      <w:tr w:rsidR="00927DC5" w:rsidRPr="005365AA" w14:paraId="43EDA9C7" w14:textId="77777777" w:rsidTr="0752BA49">
        <w:trPr>
          <w:trHeight w:val="300"/>
        </w:trPr>
        <w:tc>
          <w:tcPr>
            <w:tcW w:w="3315" w:type="dxa"/>
            <w:hideMark/>
          </w:tcPr>
          <w:p w14:paraId="5BE39287"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447928D9"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89C9B89" w14:textId="30BCFA3E" w:rsidR="00927DC5" w:rsidRPr="005365AA" w:rsidRDefault="5F9D9E2C" w:rsidP="0752BA49">
            <w:pPr>
              <w:spacing w:after="0" w:line="240" w:lineRule="auto"/>
              <w:textAlignment w:val="baseline"/>
              <w:rPr>
                <w:rFonts w:eastAsiaTheme="minorEastAsia"/>
                <w:noProof/>
                <w:sz w:val="18"/>
                <w:szCs w:val="18"/>
                <w:lang w:val="en-US" w:eastAsia="hr-HR"/>
              </w:rPr>
            </w:pPr>
            <w:r w:rsidRPr="0752BA49">
              <w:rPr>
                <w:rFonts w:eastAsiaTheme="minorEastAsia"/>
                <w:sz w:val="18"/>
                <w:szCs w:val="18"/>
                <w:lang w:eastAsia="hr-HR"/>
              </w:rPr>
              <w:t xml:space="preserve"> </w:t>
            </w:r>
            <w:r w:rsidRPr="0752BA49">
              <w:rPr>
                <w:rFonts w:eastAsiaTheme="minorEastAsia"/>
                <w:noProof/>
                <w:sz w:val="18"/>
                <w:szCs w:val="18"/>
                <w:lang w:val="en-US" w:eastAsia="hr-HR"/>
              </w:rPr>
              <w:t>The concept of physical literacy (PL) has gained increasing attention over the last decade and posits that individuals value and take responsibility for engagement in physical activities for life through (a) motivation/</w:t>
            </w:r>
            <w:r w:rsidR="14906718" w:rsidRPr="0752BA49">
              <w:rPr>
                <w:rFonts w:eastAsiaTheme="minorEastAsia"/>
                <w:noProof/>
                <w:sz w:val="18"/>
                <w:szCs w:val="18"/>
                <w:lang w:val="en-US" w:eastAsia="hr-HR"/>
              </w:rPr>
              <w:t>c</w:t>
            </w:r>
            <w:r w:rsidRPr="0752BA49">
              <w:rPr>
                <w:rFonts w:eastAsiaTheme="minorEastAsia"/>
                <w:noProof/>
                <w:sz w:val="18"/>
                <w:szCs w:val="18"/>
                <w:lang w:val="en-US" w:eastAsia="hr-HR"/>
              </w:rPr>
              <w:t>onfidence, (b) physical competence, and (c) knowledge/understanding. There is a</w:t>
            </w:r>
            <w:r w:rsidR="2D285B14" w:rsidRPr="0752BA49">
              <w:rPr>
                <w:rFonts w:eastAsiaTheme="minorEastAsia"/>
                <w:noProof/>
                <w:sz w:val="18"/>
                <w:szCs w:val="18"/>
                <w:lang w:val="en-US" w:eastAsia="hr-HR"/>
              </w:rPr>
              <w:t xml:space="preserve"> </w:t>
            </w:r>
            <w:r w:rsidRPr="0752BA49">
              <w:rPr>
                <w:rFonts w:eastAsiaTheme="minorEastAsia"/>
                <w:noProof/>
                <w:sz w:val="18"/>
                <w:szCs w:val="18"/>
                <w:lang w:val="en-US" w:eastAsia="hr-HR"/>
              </w:rPr>
              <w:t>mounting number of articles</w:t>
            </w:r>
            <w:r w:rsidR="2AE1D085" w:rsidRPr="0752BA49">
              <w:rPr>
                <w:rFonts w:eastAsiaTheme="minorEastAsia"/>
                <w:noProof/>
                <w:sz w:val="18"/>
                <w:szCs w:val="18"/>
                <w:lang w:val="en-US" w:eastAsia="hr-HR"/>
              </w:rPr>
              <w:t xml:space="preserve"> t</w:t>
            </w:r>
            <w:r w:rsidRPr="0752BA49">
              <w:rPr>
                <w:rFonts w:eastAsiaTheme="minorEastAsia"/>
                <w:noProof/>
                <w:sz w:val="18"/>
                <w:szCs w:val="18"/>
                <w:lang w:val="en-US" w:eastAsia="hr-HR"/>
              </w:rPr>
              <w:t>hat have recently transformed the conceptual ideas of PL into interventions. The goal of this pre-registered</w:t>
            </w:r>
          </w:p>
          <w:p w14:paraId="11BFD988" w14:textId="01C90A54" w:rsidR="00927DC5" w:rsidRPr="005365AA" w:rsidRDefault="5F9D9E2C"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(PROSPERO CRD42020188926) systematic review was to analyze an</w:t>
            </w:r>
            <w:r w:rsidR="70A96B45" w:rsidRPr="0752BA49">
              <w:rPr>
                <w:rFonts w:eastAsiaTheme="minorEastAsia"/>
                <w:noProof/>
                <w:sz w:val="18"/>
                <w:szCs w:val="18"/>
                <w:lang w:val="en-US" w:eastAsia="hr-HR"/>
              </w:rPr>
              <w:t>d s</w:t>
            </w:r>
            <w:r w:rsidRPr="0752BA49">
              <w:rPr>
                <w:rFonts w:eastAsiaTheme="minorEastAsia"/>
                <w:noProof/>
                <w:sz w:val="18"/>
                <w:szCs w:val="18"/>
                <w:lang w:val="en-US" w:eastAsia="hr-HR"/>
              </w:rPr>
              <w:t>ummarize PL interventions in terms of</w:t>
            </w:r>
            <w:r w:rsidR="4CF55C31" w:rsidRPr="0752BA49">
              <w:rPr>
                <w:rFonts w:eastAsiaTheme="minorEastAsia"/>
                <w:noProof/>
                <w:sz w:val="18"/>
                <w:szCs w:val="18"/>
                <w:lang w:val="en-US" w:eastAsia="hr-HR"/>
              </w:rPr>
              <w:t xml:space="preserve"> d</w:t>
            </w:r>
            <w:r w:rsidRPr="0752BA49">
              <w:rPr>
                <w:rFonts w:eastAsiaTheme="minorEastAsia"/>
                <w:noProof/>
                <w:sz w:val="18"/>
                <w:szCs w:val="18"/>
                <w:lang w:val="en-US" w:eastAsia="hr-HR"/>
              </w:rPr>
              <w:t>esign and content. A total of 18 databases were searched drawing on the 2020 preferred reporting items for</w:t>
            </w:r>
          </w:p>
          <w:p w14:paraId="16AAD8F7" w14:textId="5D58F358" w:rsidR="00927DC5" w:rsidRPr="005365AA" w:rsidRDefault="5F9D9E2C"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systematic reviews and meta-analyses (PRISMA) guidelines. Inclusion criteria were English language, publication</w:t>
            </w:r>
            <w:r w:rsidR="11D064FF" w:rsidRPr="0752BA49">
              <w:rPr>
                <w:rFonts w:eastAsiaTheme="minorEastAsia"/>
                <w:noProof/>
                <w:sz w:val="18"/>
                <w:szCs w:val="18"/>
                <w:lang w:val="en-US" w:eastAsia="hr-HR"/>
              </w:rPr>
              <w:t xml:space="preserve"> b</w:t>
            </w:r>
            <w:r w:rsidRPr="0752BA49">
              <w:rPr>
                <w:rFonts w:eastAsiaTheme="minorEastAsia"/>
                <w:noProof/>
                <w:sz w:val="18"/>
                <w:szCs w:val="18"/>
                <w:lang w:val="en-US" w:eastAsia="hr-HR"/>
              </w:rPr>
              <w:t>y November 2020, and interventions based on or inspired by PL. Articles that met these criteria were analyzed</w:t>
            </w:r>
            <w:r w:rsidR="0B486EED" w:rsidRPr="0752BA49">
              <w:rPr>
                <w:rFonts w:eastAsiaTheme="minorEastAsia"/>
                <w:noProof/>
                <w:sz w:val="18"/>
                <w:szCs w:val="18"/>
                <w:lang w:val="en-US" w:eastAsia="hr-HR"/>
              </w:rPr>
              <w:t xml:space="preserve"> in</w:t>
            </w:r>
            <w:r w:rsidRPr="0752BA49">
              <w:rPr>
                <w:rFonts w:eastAsiaTheme="minorEastAsia"/>
                <w:noProof/>
                <w:sz w:val="18"/>
                <w:szCs w:val="18"/>
                <w:lang w:val="en-US" w:eastAsia="hr-HR"/>
              </w:rPr>
              <w:t xml:space="preserve"> relation to basic delivery characteristics, theoretical foundations, study</w:t>
            </w:r>
            <w:r w:rsidR="171486DC" w:rsidRPr="0752BA49">
              <w:rPr>
                <w:rFonts w:eastAsiaTheme="minorEastAsia"/>
                <w:noProof/>
                <w:sz w:val="18"/>
                <w:szCs w:val="18"/>
                <w:lang w:val="en-US" w:eastAsia="hr-HR"/>
              </w:rPr>
              <w:t xml:space="preserve"> objectives</w:t>
            </w:r>
            <w:r w:rsidRPr="0752BA49">
              <w:rPr>
                <w:rFonts w:eastAsiaTheme="minorEastAsia"/>
                <w:noProof/>
                <w:sz w:val="18"/>
                <w:szCs w:val="18"/>
                <w:lang w:val="en-US" w:eastAsia="hr-HR"/>
              </w:rPr>
              <w:t>, intervention content, and</w:t>
            </w:r>
            <w:r w:rsidR="5D45125D" w:rsidRPr="0752BA49">
              <w:rPr>
                <w:rFonts w:eastAsiaTheme="minorEastAsia"/>
                <w:noProof/>
                <w:sz w:val="18"/>
                <w:szCs w:val="18"/>
                <w:lang w:val="en-US" w:eastAsia="hr-HR"/>
              </w:rPr>
              <w:t xml:space="preserve"> p</w:t>
            </w:r>
            <w:r w:rsidRPr="0752BA49">
              <w:rPr>
                <w:rFonts w:eastAsiaTheme="minorEastAsia"/>
                <w:noProof/>
                <w:sz w:val="18"/>
                <w:szCs w:val="18"/>
                <w:lang w:val="en-US" w:eastAsia="hr-HR"/>
              </w:rPr>
              <w:t>otential links between the PL domains (a-c) and content. The multiphase screening process with two independent</w:t>
            </w:r>
          </w:p>
          <w:p w14:paraId="77BE90C0" w14:textId="58141627" w:rsidR="00927DC5" w:rsidRPr="005365AA" w:rsidRDefault="5F9D9E2C"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raters yielded 44 eligible interventions across 46 articles. The analyses of the review demonstrated that</w:t>
            </w:r>
            <w:r w:rsidR="28C5316C" w:rsidRPr="0752BA49">
              <w:rPr>
                <w:rFonts w:eastAsiaTheme="minorEastAsia"/>
                <w:noProof/>
                <w:sz w:val="18"/>
                <w:szCs w:val="18"/>
                <w:lang w:val="en-US" w:eastAsia="hr-HR"/>
              </w:rPr>
              <w:t xml:space="preserve"> t</w:t>
            </w:r>
            <w:r w:rsidRPr="0752BA49">
              <w:rPr>
                <w:rFonts w:eastAsiaTheme="minorEastAsia"/>
                <w:noProof/>
                <w:sz w:val="18"/>
                <w:szCs w:val="18"/>
                <w:lang w:val="en-US" w:eastAsia="hr-HR"/>
              </w:rPr>
              <w:t>he majority of interventions were conducted on children or adolescents and in countries with higher economic</w:t>
            </w:r>
            <w:r w:rsidR="4D30996A" w:rsidRPr="0752BA49">
              <w:rPr>
                <w:rFonts w:eastAsiaTheme="minorEastAsia"/>
                <w:noProof/>
                <w:sz w:val="18"/>
                <w:szCs w:val="18"/>
                <w:lang w:val="en-US" w:eastAsia="hr-HR"/>
              </w:rPr>
              <w:t xml:space="preserve"> d</w:t>
            </w:r>
            <w:r w:rsidRPr="0752BA49">
              <w:rPr>
                <w:rFonts w:eastAsiaTheme="minorEastAsia"/>
                <w:noProof/>
                <w:sz w:val="18"/>
                <w:szCs w:val="18"/>
                <w:lang w:val="en-US" w:eastAsia="hr-HR"/>
              </w:rPr>
              <w:t>evelopment. While 77.3% of the interventions adopted a holistic understanding of PL, only 38.6% formulated</w:t>
            </w:r>
            <w:r w:rsidR="22BCFACB" w:rsidRPr="0752BA49">
              <w:rPr>
                <w:rFonts w:eastAsiaTheme="minorEastAsia"/>
                <w:noProof/>
                <w:sz w:val="18"/>
                <w:szCs w:val="18"/>
                <w:lang w:val="en-US" w:eastAsia="hr-HR"/>
              </w:rPr>
              <w:t xml:space="preserve"> s</w:t>
            </w:r>
            <w:r w:rsidRPr="0752BA49">
              <w:rPr>
                <w:rFonts w:eastAsiaTheme="minorEastAsia"/>
                <w:noProof/>
                <w:sz w:val="18"/>
                <w:szCs w:val="18"/>
                <w:lang w:val="en-US" w:eastAsia="hr-HR"/>
              </w:rPr>
              <w:t>tudy goals or intervention content to cover all the core PL domains. Importantly, only 25.0% of the interventions</w:t>
            </w:r>
            <w:r w:rsidR="0FD40EBC" w:rsidRPr="0752BA49">
              <w:rPr>
                <w:rFonts w:eastAsiaTheme="minorEastAsia"/>
                <w:noProof/>
                <w:sz w:val="18"/>
                <w:szCs w:val="18"/>
                <w:lang w:val="en-US" w:eastAsia="hr-HR"/>
              </w:rPr>
              <w:t xml:space="preserve"> s</w:t>
            </w:r>
            <w:r w:rsidRPr="0752BA49">
              <w:rPr>
                <w:rFonts w:eastAsiaTheme="minorEastAsia"/>
                <w:noProof/>
                <w:sz w:val="18"/>
                <w:szCs w:val="18"/>
                <w:lang w:val="en-US" w:eastAsia="hr-HR"/>
              </w:rPr>
              <w:t>howed substantial links between PL domains and intervention content and can thus be classified as theorybased.</w:t>
            </w:r>
            <w:r w:rsidR="3D1A3FAD" w:rsidRPr="0752BA49">
              <w:rPr>
                <w:rFonts w:eastAsiaTheme="minorEastAsia"/>
                <w:noProof/>
                <w:sz w:val="18"/>
                <w:szCs w:val="18"/>
                <w:lang w:val="en-US" w:eastAsia="hr-HR"/>
              </w:rPr>
              <w:t xml:space="preserve"> T</w:t>
            </w:r>
            <w:r w:rsidRPr="0752BA49">
              <w:rPr>
                <w:rFonts w:eastAsiaTheme="minorEastAsia"/>
                <w:noProof/>
                <w:sz w:val="18"/>
                <w:szCs w:val="18"/>
                <w:lang w:val="en-US" w:eastAsia="hr-HR"/>
              </w:rPr>
              <w:t>aken together, most interventions targeted aspects of physical competence (84.1%), whereas knowledge/</w:t>
            </w:r>
            <w:r w:rsidR="71FD0AFA" w:rsidRPr="0752BA49">
              <w:rPr>
                <w:rFonts w:eastAsiaTheme="minorEastAsia"/>
                <w:noProof/>
                <w:sz w:val="18"/>
                <w:szCs w:val="18"/>
                <w:lang w:val="en-US" w:eastAsia="hr-HR"/>
              </w:rPr>
              <w:t>u</w:t>
            </w:r>
            <w:r w:rsidRPr="0752BA49">
              <w:rPr>
                <w:rFonts w:eastAsiaTheme="minorEastAsia"/>
                <w:noProof/>
                <w:sz w:val="18"/>
                <w:szCs w:val="18"/>
                <w:lang w:val="en-US" w:eastAsia="hr-HR"/>
              </w:rPr>
              <w:t>nderstanding (59.1%) and motivation/confidence (47.7%) were often neglected. Therefore, future interventions</w:t>
            </w:r>
            <w:r w:rsidR="6C747029" w:rsidRPr="0752BA49">
              <w:rPr>
                <w:rFonts w:eastAsiaTheme="minorEastAsia"/>
                <w:noProof/>
                <w:sz w:val="18"/>
                <w:szCs w:val="18"/>
                <w:lang w:val="en-US" w:eastAsia="hr-HR"/>
              </w:rPr>
              <w:t xml:space="preserve"> s</w:t>
            </w:r>
            <w:r w:rsidRPr="0752BA49">
              <w:rPr>
                <w:rFonts w:eastAsiaTheme="minorEastAsia"/>
                <w:noProof/>
                <w:sz w:val="18"/>
                <w:szCs w:val="18"/>
                <w:lang w:val="en-US" w:eastAsia="hr-HR"/>
              </w:rPr>
              <w:t>hould commit to systematically address all domains of PL simultaneously. PL interventions exposed</w:t>
            </w:r>
            <w:r w:rsidR="6548E47C" w:rsidRPr="0752BA49">
              <w:rPr>
                <w:rFonts w:eastAsiaTheme="minorEastAsia"/>
                <w:noProof/>
                <w:sz w:val="18"/>
                <w:szCs w:val="18"/>
                <w:lang w:val="en-US" w:eastAsia="hr-HR"/>
              </w:rPr>
              <w:t xml:space="preserve"> w</w:t>
            </w:r>
            <w:r w:rsidRPr="0752BA49">
              <w:rPr>
                <w:rFonts w:eastAsiaTheme="minorEastAsia"/>
                <w:noProof/>
                <w:sz w:val="18"/>
                <w:szCs w:val="18"/>
                <w:lang w:val="en-US" w:eastAsia="hr-HR"/>
              </w:rPr>
              <w:t>eaknesses in reporting delivery characteristics and content. Finally, a model is suggested which assumes that</w:t>
            </w:r>
          </w:p>
          <w:p w14:paraId="7720E492" w14:textId="5AF0C85F" w:rsidR="00927DC5" w:rsidRPr="005365AA" w:rsidRDefault="5F9D9E2C" w:rsidP="0752BA49">
            <w:pPr>
              <w:spacing w:after="0" w:line="240" w:lineRule="auto"/>
              <w:textAlignment w:val="baseline"/>
              <w:rPr>
                <w:rFonts w:eastAsiaTheme="minorEastAsia"/>
                <w:sz w:val="18"/>
                <w:szCs w:val="18"/>
                <w:lang w:eastAsia="hr-HR"/>
              </w:rPr>
            </w:pPr>
            <w:r w:rsidRPr="0752BA49">
              <w:rPr>
                <w:rFonts w:eastAsiaTheme="minorEastAsia"/>
                <w:noProof/>
                <w:sz w:val="18"/>
                <w:szCs w:val="18"/>
                <w:lang w:val="en-US" w:eastAsia="hr-HR"/>
              </w:rPr>
              <w:t>practical PL efforts may better harmonize with PL theory and conception if they cultivated a tight interlockin</w:t>
            </w:r>
            <w:r w:rsidR="57437D07" w:rsidRPr="0752BA49">
              <w:rPr>
                <w:rFonts w:eastAsiaTheme="minorEastAsia"/>
                <w:noProof/>
                <w:sz w:val="18"/>
                <w:szCs w:val="18"/>
                <w:lang w:val="en-US" w:eastAsia="hr-HR"/>
              </w:rPr>
              <w:t xml:space="preserve">g </w:t>
            </w:r>
            <w:r w:rsidRPr="0752BA49">
              <w:rPr>
                <w:rFonts w:eastAsiaTheme="minorEastAsia"/>
                <w:noProof/>
                <w:sz w:val="18"/>
                <w:szCs w:val="18"/>
                <w:lang w:val="en-US" w:eastAsia="hr-HR"/>
              </w:rPr>
              <w:t>with the three core domains of PL at all stages of the intervention process.</w:t>
            </w:r>
          </w:p>
        </w:tc>
      </w:tr>
      <w:tr w:rsidR="00927DC5" w:rsidRPr="005365AA" w14:paraId="0D751A93" w14:textId="77777777" w:rsidTr="0752BA49">
        <w:trPr>
          <w:trHeight w:val="300"/>
        </w:trPr>
        <w:tc>
          <w:tcPr>
            <w:tcW w:w="3315" w:type="dxa"/>
            <w:hideMark/>
          </w:tcPr>
          <w:p w14:paraId="0F971123"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31791706" w14:textId="3244D42E" w:rsidR="00927DC5" w:rsidRPr="005365AA" w:rsidRDefault="10CC670F" w:rsidP="0752BA49">
            <w:pPr>
              <w:spacing w:after="0" w:line="240" w:lineRule="auto"/>
              <w:textAlignment w:val="baseline"/>
              <w:rPr>
                <w:rFonts w:eastAsiaTheme="minorEastAsia"/>
                <w:sz w:val="18"/>
                <w:szCs w:val="18"/>
              </w:rPr>
            </w:pPr>
            <w:r w:rsidRPr="0752BA49">
              <w:rPr>
                <w:rFonts w:eastAsiaTheme="minorEastAsia"/>
                <w:sz w:val="18"/>
                <w:szCs w:val="18"/>
                <w:lang w:val="hr"/>
              </w:rPr>
              <w:t>Tjelesna pismenost, tjelesna aktivnost, zdravlje, stil života, motoričke vještine</w:t>
            </w:r>
          </w:p>
        </w:tc>
      </w:tr>
      <w:tr w:rsidR="00927DC5" w:rsidRPr="005365AA" w14:paraId="03E7C97C" w14:textId="77777777" w:rsidTr="0752BA49">
        <w:trPr>
          <w:trHeight w:val="300"/>
        </w:trPr>
        <w:tc>
          <w:tcPr>
            <w:tcW w:w="3315" w:type="dxa"/>
            <w:hideMark/>
          </w:tcPr>
          <w:p w14:paraId="60892143"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07CDF976" w14:textId="05898B80" w:rsidR="00927DC5" w:rsidRPr="005365AA" w:rsidRDefault="423A0076" w:rsidP="0752BA49">
            <w:pPr>
              <w:spacing w:after="0" w:line="240" w:lineRule="auto"/>
              <w:textAlignment w:val="baseline"/>
              <w:rPr>
                <w:rFonts w:eastAsiaTheme="minorEastAsia"/>
                <w:sz w:val="18"/>
                <w:szCs w:val="18"/>
                <w:lang w:val="hr"/>
              </w:rPr>
            </w:pPr>
            <w:r w:rsidRPr="0752BA49">
              <w:rPr>
                <w:rFonts w:eastAsiaTheme="minorEastAsia"/>
                <w:sz w:val="18"/>
                <w:szCs w:val="18"/>
                <w:lang w:eastAsia="hr-HR"/>
              </w:rPr>
              <w:t xml:space="preserve"> </w:t>
            </w:r>
            <w:r w:rsidR="165FCF1B" w:rsidRPr="0752BA49">
              <w:rPr>
                <w:rFonts w:eastAsiaTheme="minorEastAsia"/>
                <w:sz w:val="18"/>
                <w:szCs w:val="18"/>
                <w:lang w:val="hr"/>
              </w:rPr>
              <w:t xml:space="preserve">Cilj preglednog rada </w:t>
            </w:r>
            <w:r w:rsidR="1BEADBA5" w:rsidRPr="0752BA49">
              <w:rPr>
                <w:rFonts w:eastAsiaTheme="minorEastAsia"/>
                <w:sz w:val="18"/>
                <w:szCs w:val="18"/>
                <w:lang w:val="hr"/>
              </w:rPr>
              <w:t xml:space="preserve">bio je analizirati dizajn i sadržaj objavljenih intervencija s fokusom na TP. </w:t>
            </w:r>
            <w:r w:rsidR="4CCC42B3" w:rsidRPr="0752BA49">
              <w:rPr>
                <w:rFonts w:eastAsiaTheme="minorEastAsia"/>
                <w:sz w:val="18"/>
                <w:szCs w:val="18"/>
                <w:lang w:val="hr"/>
              </w:rPr>
              <w:t>Uključeno je ukupno 46 istraživanja.</w:t>
            </w:r>
          </w:p>
        </w:tc>
      </w:tr>
      <w:tr w:rsidR="00927DC5" w:rsidRPr="005365AA" w14:paraId="2503E248" w14:textId="77777777" w:rsidTr="0752BA49">
        <w:trPr>
          <w:trHeight w:val="300"/>
        </w:trPr>
        <w:tc>
          <w:tcPr>
            <w:tcW w:w="3315" w:type="dxa"/>
            <w:hideMark/>
          </w:tcPr>
          <w:p w14:paraId="6E295490"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429E133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253C79D6" w14:textId="1CA5FF51" w:rsidR="00927DC5" w:rsidRPr="005365AA" w:rsidRDefault="56D68369" w:rsidP="0752BA49">
            <w:pPr>
              <w:spacing w:after="0" w:line="240" w:lineRule="auto"/>
              <w:textAlignment w:val="baseline"/>
              <w:rPr>
                <w:rFonts w:eastAsiaTheme="minorEastAsia"/>
                <w:sz w:val="18"/>
                <w:szCs w:val="18"/>
                <w:lang w:val="hr"/>
              </w:rPr>
            </w:pPr>
            <w:r w:rsidRPr="0752BA49">
              <w:rPr>
                <w:rFonts w:eastAsiaTheme="minorEastAsia"/>
                <w:sz w:val="18"/>
                <w:szCs w:val="18"/>
                <w:lang w:eastAsia="hr-HR"/>
              </w:rPr>
              <w:t xml:space="preserve"> </w:t>
            </w:r>
            <w:r w:rsidR="4D95E3B6" w:rsidRPr="0752BA49">
              <w:rPr>
                <w:rFonts w:eastAsiaTheme="minorEastAsia"/>
                <w:sz w:val="18"/>
                <w:szCs w:val="18"/>
                <w:lang w:val="hr"/>
              </w:rPr>
              <w:t xml:space="preserve">Buduća istraživanja TP-a trebala bi težiti boljoj rodnoj ravnoteži u intervencijama. </w:t>
            </w:r>
            <w:r w:rsidR="635CA7D3" w:rsidRPr="0752BA49">
              <w:rPr>
                <w:rFonts w:eastAsiaTheme="minorEastAsia"/>
                <w:sz w:val="18"/>
                <w:szCs w:val="18"/>
                <w:lang w:val="hr"/>
              </w:rPr>
              <w:t>Iako većina istraživanja definira TP holistički, samo 38,6% intervencija formuliralo je ciljeve istraživanja ili sadržaj intervencije na sve tri domene tjelesne pismenosti.</w:t>
            </w:r>
          </w:p>
          <w:p w14:paraId="13CBB229" w14:textId="0D48CD09" w:rsidR="00927DC5" w:rsidRPr="005365AA" w:rsidRDefault="31EE1535"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Istraživačima koji dizajniraju TP intervencije autori preporučuju: (1) odabrati sveobuhvatnu definiciju TP; (2) formulirati višedimenzionalne</w:t>
            </w:r>
            <w:r w:rsidR="539E6FE0">
              <w:br/>
            </w:r>
            <w:r w:rsidRPr="0752BA49">
              <w:rPr>
                <w:rFonts w:eastAsiaTheme="minorEastAsia"/>
                <w:sz w:val="18"/>
                <w:szCs w:val="18"/>
                <w:lang w:val="hr"/>
              </w:rPr>
              <w:t xml:space="preserve">ciljeve istraživanja, u skladu s teorijskim domenama </w:t>
            </w:r>
            <w:r w:rsidR="55057BBC" w:rsidRPr="0752BA49">
              <w:rPr>
                <w:rFonts w:eastAsiaTheme="minorEastAsia"/>
                <w:sz w:val="18"/>
                <w:szCs w:val="18"/>
                <w:lang w:val="hr"/>
              </w:rPr>
              <w:t>TP</w:t>
            </w:r>
            <w:r w:rsidRPr="0752BA49">
              <w:rPr>
                <w:rFonts w:eastAsiaTheme="minorEastAsia"/>
                <w:sz w:val="18"/>
                <w:szCs w:val="18"/>
                <w:lang w:val="hr"/>
              </w:rPr>
              <w:t>-a i</w:t>
            </w:r>
            <w:r w:rsidR="7E996318" w:rsidRPr="0752BA49">
              <w:rPr>
                <w:rFonts w:eastAsiaTheme="minorEastAsia"/>
                <w:sz w:val="18"/>
                <w:szCs w:val="18"/>
                <w:lang w:val="hr"/>
              </w:rPr>
              <w:t xml:space="preserve"> f</w:t>
            </w:r>
            <w:r w:rsidRPr="0752BA49">
              <w:rPr>
                <w:rFonts w:eastAsiaTheme="minorEastAsia"/>
                <w:sz w:val="18"/>
                <w:szCs w:val="18"/>
                <w:lang w:val="hr"/>
              </w:rPr>
              <w:t xml:space="preserve">ilozofskim pretpostavkama; (3) </w:t>
            </w:r>
            <w:r w:rsidR="72129C25" w:rsidRPr="0752BA49">
              <w:rPr>
                <w:rFonts w:eastAsiaTheme="minorEastAsia"/>
                <w:sz w:val="18"/>
                <w:szCs w:val="18"/>
                <w:lang w:val="hr"/>
              </w:rPr>
              <w:t>objasniti</w:t>
            </w:r>
            <w:r w:rsidRPr="0752BA49">
              <w:rPr>
                <w:rFonts w:eastAsiaTheme="minorEastAsia"/>
                <w:sz w:val="18"/>
                <w:szCs w:val="18"/>
                <w:lang w:val="hr"/>
              </w:rPr>
              <w:t xml:space="preserve"> </w:t>
            </w:r>
            <w:r w:rsidR="00F56F76" w:rsidRPr="0752BA49">
              <w:rPr>
                <w:rFonts w:eastAsiaTheme="minorEastAsia"/>
                <w:sz w:val="18"/>
                <w:szCs w:val="18"/>
                <w:lang w:val="hr"/>
              </w:rPr>
              <w:t>povezanost</w:t>
            </w:r>
            <w:r w:rsidRPr="0752BA49">
              <w:rPr>
                <w:rFonts w:eastAsiaTheme="minorEastAsia"/>
                <w:sz w:val="18"/>
                <w:szCs w:val="18"/>
                <w:lang w:val="hr"/>
              </w:rPr>
              <w:t xml:space="preserve"> između</w:t>
            </w:r>
            <w:r w:rsidR="4B6C8F55" w:rsidRPr="0752BA49">
              <w:rPr>
                <w:rFonts w:eastAsiaTheme="minorEastAsia"/>
                <w:sz w:val="18"/>
                <w:szCs w:val="18"/>
                <w:lang w:val="hr"/>
              </w:rPr>
              <w:t xml:space="preserve"> d</w:t>
            </w:r>
            <w:r w:rsidRPr="0752BA49">
              <w:rPr>
                <w:rFonts w:eastAsiaTheme="minorEastAsia"/>
                <w:sz w:val="18"/>
                <w:szCs w:val="18"/>
                <w:lang w:val="hr"/>
              </w:rPr>
              <w:t xml:space="preserve">obro utemeljenog sadržaja/tehnika intervencije i domena </w:t>
            </w:r>
            <w:r w:rsidR="4A5ABA7A" w:rsidRPr="0752BA49">
              <w:rPr>
                <w:rFonts w:eastAsiaTheme="minorEastAsia"/>
                <w:sz w:val="18"/>
                <w:szCs w:val="18"/>
                <w:lang w:val="hr"/>
              </w:rPr>
              <w:t>TP</w:t>
            </w:r>
            <w:r w:rsidRPr="0752BA49">
              <w:rPr>
                <w:rFonts w:eastAsiaTheme="minorEastAsia"/>
                <w:sz w:val="18"/>
                <w:szCs w:val="18"/>
                <w:lang w:val="hr"/>
              </w:rPr>
              <w:t xml:space="preserve">-a; </w:t>
            </w:r>
            <w:r w:rsidR="704E7996" w:rsidRPr="0752BA49">
              <w:rPr>
                <w:rFonts w:eastAsiaTheme="minorEastAsia"/>
                <w:sz w:val="18"/>
                <w:szCs w:val="18"/>
                <w:lang w:val="hr"/>
              </w:rPr>
              <w:t>i (</w:t>
            </w:r>
            <w:r w:rsidRPr="0752BA49">
              <w:rPr>
                <w:rFonts w:eastAsiaTheme="minorEastAsia"/>
                <w:sz w:val="18"/>
                <w:szCs w:val="18"/>
                <w:lang w:val="hr"/>
              </w:rPr>
              <w:t xml:space="preserve">4) </w:t>
            </w:r>
            <w:r w:rsidR="194360D0" w:rsidRPr="0752BA49">
              <w:rPr>
                <w:rFonts w:eastAsiaTheme="minorEastAsia"/>
                <w:sz w:val="18"/>
                <w:szCs w:val="18"/>
                <w:lang w:val="hr"/>
              </w:rPr>
              <w:t>evaluirati</w:t>
            </w:r>
            <w:r w:rsidRPr="0752BA49">
              <w:rPr>
                <w:rFonts w:eastAsiaTheme="minorEastAsia"/>
                <w:sz w:val="18"/>
                <w:szCs w:val="18"/>
                <w:lang w:val="hr"/>
              </w:rPr>
              <w:t xml:space="preserve"> višedimenzionaln</w:t>
            </w:r>
            <w:r w:rsidR="6ACC0FBE" w:rsidRPr="0752BA49">
              <w:rPr>
                <w:rFonts w:eastAsiaTheme="minorEastAsia"/>
                <w:sz w:val="18"/>
                <w:szCs w:val="18"/>
                <w:lang w:val="hr"/>
              </w:rPr>
              <w:t>e</w:t>
            </w:r>
            <w:r w:rsidRPr="0752BA49">
              <w:rPr>
                <w:rFonts w:eastAsiaTheme="minorEastAsia"/>
                <w:sz w:val="18"/>
                <w:szCs w:val="18"/>
                <w:lang w:val="hr"/>
              </w:rPr>
              <w:t xml:space="preserve"> ishod</w:t>
            </w:r>
            <w:r w:rsidR="654BAAB4" w:rsidRPr="0752BA49">
              <w:rPr>
                <w:rFonts w:eastAsiaTheme="minorEastAsia"/>
                <w:sz w:val="18"/>
                <w:szCs w:val="18"/>
                <w:lang w:val="hr"/>
              </w:rPr>
              <w:t>e</w:t>
            </w:r>
            <w:r w:rsidRPr="0752BA49">
              <w:rPr>
                <w:rFonts w:eastAsiaTheme="minorEastAsia"/>
                <w:sz w:val="18"/>
                <w:szCs w:val="18"/>
                <w:lang w:val="hr"/>
              </w:rPr>
              <w:t xml:space="preserve"> </w:t>
            </w:r>
            <w:r w:rsidR="25CF534F" w:rsidRPr="0752BA49">
              <w:rPr>
                <w:rFonts w:eastAsiaTheme="minorEastAsia"/>
                <w:sz w:val="18"/>
                <w:szCs w:val="18"/>
                <w:lang w:val="hr"/>
              </w:rPr>
              <w:t>TP</w:t>
            </w:r>
            <w:r w:rsidRPr="0752BA49">
              <w:rPr>
                <w:rFonts w:eastAsiaTheme="minorEastAsia"/>
                <w:sz w:val="18"/>
                <w:szCs w:val="18"/>
                <w:lang w:val="hr"/>
              </w:rPr>
              <w:t>-a u skladu</w:t>
            </w:r>
            <w:r w:rsidR="43C2F148" w:rsidRPr="0752BA49">
              <w:rPr>
                <w:rFonts w:eastAsiaTheme="minorEastAsia"/>
                <w:sz w:val="18"/>
                <w:szCs w:val="18"/>
                <w:lang w:val="hr"/>
              </w:rPr>
              <w:t xml:space="preserve"> s </w:t>
            </w:r>
            <w:r w:rsidRPr="0752BA49">
              <w:rPr>
                <w:rFonts w:eastAsiaTheme="minorEastAsia"/>
                <w:sz w:val="18"/>
                <w:szCs w:val="18"/>
                <w:lang w:val="hr"/>
              </w:rPr>
              <w:t>početnim ciljevima istraživanja.</w:t>
            </w:r>
          </w:p>
          <w:p w14:paraId="45533ACF" w14:textId="353E2C74" w:rsidR="00927DC5" w:rsidRPr="005365AA" w:rsidRDefault="29B3A33F" w:rsidP="0752BA49">
            <w:pPr>
              <w:spacing w:after="0" w:line="240" w:lineRule="auto"/>
              <w:textAlignment w:val="baseline"/>
              <w:rPr>
                <w:rFonts w:eastAsiaTheme="minorEastAsia"/>
                <w:sz w:val="18"/>
                <w:szCs w:val="18"/>
                <w:lang w:val="hr"/>
              </w:rPr>
            </w:pPr>
            <w:r w:rsidRPr="0752BA49">
              <w:rPr>
                <w:rFonts w:eastAsiaTheme="minorEastAsia"/>
                <w:sz w:val="18"/>
                <w:szCs w:val="18"/>
                <w:lang w:val="hr"/>
              </w:rPr>
              <w:t>Budući da se sat tjelesne i zdravstvene kulture u školama smatra ključnim okruženjem za promicanje razvoja tjelesne pismenosti, učitelji bi trebali biti opremljeni vještinama potrebnim za poticanje razvoja TP kod djece.</w:t>
            </w:r>
          </w:p>
        </w:tc>
      </w:tr>
      <w:tr w:rsidR="00927DC5" w:rsidRPr="005365AA" w14:paraId="6B01623E" w14:textId="77777777" w:rsidTr="0752BA49">
        <w:trPr>
          <w:trHeight w:val="300"/>
        </w:trPr>
        <w:tc>
          <w:tcPr>
            <w:tcW w:w="3315" w:type="dxa"/>
            <w:hideMark/>
          </w:tcPr>
          <w:p w14:paraId="210C97C9"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7B27B343"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4E173E80" w14:textId="61B12EEE" w:rsidR="00927DC5" w:rsidRPr="005365AA" w:rsidRDefault="6B3C0FF7"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Može koristiti u planiranju intervencije za razvoj tjelesne pismenosti. </w:t>
            </w:r>
          </w:p>
          <w:p w14:paraId="0ED44CFD" w14:textId="34A39447" w:rsidR="00927DC5" w:rsidRPr="005365AA" w:rsidRDefault="6B3C0FF7"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Postavlja pitanje edukacije učitelja koji bi takve intervencije mogli provoditi u budućnosti. </w:t>
            </w:r>
          </w:p>
          <w:p w14:paraId="3D1508DA" w14:textId="7676F6F8" w:rsidR="00927DC5" w:rsidRPr="005365AA" w:rsidRDefault="13CD8BF0"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Navedeni su detalji svih istraživanja uključenih u ovaj pregledni rad te se pojedina istraživanja koja su nam korisna mogu posebno proučiti</w:t>
            </w:r>
            <w:r w:rsidR="2597EB3D" w:rsidRPr="0752BA49">
              <w:rPr>
                <w:rFonts w:eastAsiaTheme="minorEastAsia"/>
                <w:sz w:val="18"/>
                <w:szCs w:val="18"/>
                <w:lang w:eastAsia="hr-HR"/>
              </w:rPr>
              <w:t xml:space="preserve">. </w:t>
            </w:r>
          </w:p>
        </w:tc>
      </w:tr>
      <w:tr w:rsidR="00927DC5" w:rsidRPr="005365AA" w14:paraId="79E70751" w14:textId="77777777" w:rsidTr="0752BA49">
        <w:trPr>
          <w:trHeight w:val="300"/>
        </w:trPr>
        <w:tc>
          <w:tcPr>
            <w:tcW w:w="3315" w:type="dxa"/>
            <w:hideMark/>
          </w:tcPr>
          <w:p w14:paraId="2F22D691"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668E3DD5"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6956C59F" w14:textId="2F10A0B1" w:rsidR="00927DC5" w:rsidRDefault="00927DC5" w:rsidP="005365AA"/>
    <w:p w14:paraId="2BF1804B" w14:textId="6AD3767D" w:rsidR="00927DC5" w:rsidRDefault="00927DC5"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0"/>
        <w:gridCol w:w="6612"/>
      </w:tblGrid>
      <w:tr w:rsidR="00927DC5" w:rsidRPr="005365AA" w14:paraId="2194F60A" w14:textId="77777777" w:rsidTr="0752BA49">
        <w:trPr>
          <w:trHeight w:val="300"/>
        </w:trPr>
        <w:tc>
          <w:tcPr>
            <w:tcW w:w="3315" w:type="dxa"/>
            <w:hideMark/>
          </w:tcPr>
          <w:p w14:paraId="32457CC9" w14:textId="503E6A0C"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2ED0F6B3" w14:textId="7DCA63E9" w:rsidR="00927DC5" w:rsidRPr="005365AA" w:rsidRDefault="15FF4303" w:rsidP="0752BA49">
            <w:pPr>
              <w:spacing w:after="0" w:line="240" w:lineRule="auto"/>
              <w:textAlignment w:val="baseline"/>
              <w:rPr>
                <w:rFonts w:eastAsiaTheme="minorEastAsia"/>
                <w:b/>
                <w:bCs/>
                <w:sz w:val="18"/>
                <w:szCs w:val="18"/>
                <w:lang w:val="en-US"/>
              </w:rPr>
            </w:pPr>
            <w:r w:rsidRPr="0752BA49">
              <w:rPr>
                <w:rFonts w:eastAsiaTheme="minorEastAsia"/>
                <w:b/>
                <w:bCs/>
                <w:sz w:val="18"/>
                <w:szCs w:val="18"/>
                <w:lang w:eastAsia="hr-HR"/>
              </w:rPr>
              <w:t xml:space="preserve"> </w:t>
            </w:r>
            <w:r w:rsidR="6F68C0FE" w:rsidRPr="0752BA49">
              <w:rPr>
                <w:rFonts w:eastAsiaTheme="minorEastAsia"/>
                <w:sz w:val="18"/>
                <w:szCs w:val="18"/>
                <w:lang w:val="en-US"/>
              </w:rPr>
              <w:t xml:space="preserve">Barnett, L. M., Jerebine, A., Keegan, R., Watson-Mackie, K., Arundell, L., Ridgers, N. D., Salmon, J., &amp; Dudley, D. (2023). Validity, Reliability, and Feasibility of Physical Literacy Assessments Designed for School Children: A Systematic Review. </w:t>
            </w:r>
            <w:r w:rsidR="6F68C0FE" w:rsidRPr="0752BA49">
              <w:rPr>
                <w:rFonts w:eastAsiaTheme="minorEastAsia"/>
                <w:i/>
                <w:iCs/>
                <w:sz w:val="18"/>
                <w:szCs w:val="18"/>
                <w:lang w:val="en-US"/>
              </w:rPr>
              <w:t>Sports medicine (Auckland, N.Z.)</w:t>
            </w:r>
            <w:r w:rsidR="6F68C0FE" w:rsidRPr="0752BA49">
              <w:rPr>
                <w:rFonts w:eastAsiaTheme="minorEastAsia"/>
                <w:sz w:val="18"/>
                <w:szCs w:val="18"/>
                <w:lang w:val="en-US"/>
              </w:rPr>
              <w:t xml:space="preserve">, </w:t>
            </w:r>
            <w:r w:rsidR="6F68C0FE" w:rsidRPr="0752BA49">
              <w:rPr>
                <w:rFonts w:eastAsiaTheme="minorEastAsia"/>
                <w:i/>
                <w:iCs/>
                <w:sz w:val="18"/>
                <w:szCs w:val="18"/>
                <w:lang w:val="en-US"/>
              </w:rPr>
              <w:t>53</w:t>
            </w:r>
            <w:r w:rsidR="6F68C0FE" w:rsidRPr="0752BA49">
              <w:rPr>
                <w:rFonts w:eastAsiaTheme="minorEastAsia"/>
                <w:sz w:val="18"/>
                <w:szCs w:val="18"/>
                <w:lang w:val="en-US"/>
              </w:rPr>
              <w:t>(10), 1905–1929. https://doi.org/10.1007/s40279-023-01867-4</w:t>
            </w:r>
          </w:p>
        </w:tc>
      </w:tr>
      <w:tr w:rsidR="00927DC5" w:rsidRPr="005365AA" w14:paraId="36AEC991" w14:textId="77777777" w:rsidTr="0752BA49">
        <w:trPr>
          <w:trHeight w:val="300"/>
        </w:trPr>
        <w:tc>
          <w:tcPr>
            <w:tcW w:w="3315" w:type="dxa"/>
            <w:hideMark/>
          </w:tcPr>
          <w:p w14:paraId="6AAF9C4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6E0AFD92" w14:textId="5E2E3DCD" w:rsidR="00927DC5" w:rsidRPr="005365AA" w:rsidRDefault="264F3085"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w:t>
            </w:r>
            <w:hyperlink r:id="rId15">
              <w:r w:rsidRPr="0752BA49">
                <w:rPr>
                  <w:rStyle w:val="Hiperveza"/>
                  <w:rFonts w:eastAsiaTheme="minorEastAsia"/>
                  <w:sz w:val="18"/>
                  <w:szCs w:val="18"/>
                  <w:lang w:eastAsia="hr-HR"/>
                </w:rPr>
                <w:t>https://link.springer.com/article/10.1007/s40279-023-01867-4</w:t>
              </w:r>
            </w:hyperlink>
            <w:r w:rsidRPr="0752BA49">
              <w:rPr>
                <w:rFonts w:eastAsiaTheme="minorEastAsia"/>
                <w:sz w:val="18"/>
                <w:szCs w:val="18"/>
                <w:lang w:eastAsia="hr-HR"/>
              </w:rPr>
              <w:t xml:space="preserve"> </w:t>
            </w:r>
          </w:p>
        </w:tc>
      </w:tr>
      <w:tr w:rsidR="00927DC5" w:rsidRPr="005365AA" w14:paraId="4D8FA0C4" w14:textId="77777777" w:rsidTr="0752BA49">
        <w:trPr>
          <w:trHeight w:val="300"/>
        </w:trPr>
        <w:tc>
          <w:tcPr>
            <w:tcW w:w="3315" w:type="dxa"/>
            <w:hideMark/>
          </w:tcPr>
          <w:p w14:paraId="6A779F8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0A2F2448" w14:textId="0939058E" w:rsidR="00927DC5" w:rsidRPr="005365AA" w:rsidRDefault="68C746A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Tjelesna pismenost</w:t>
            </w:r>
          </w:p>
        </w:tc>
      </w:tr>
      <w:tr w:rsidR="00927DC5" w:rsidRPr="005365AA" w14:paraId="3E7EECB9" w14:textId="77777777" w:rsidTr="0752BA49">
        <w:trPr>
          <w:trHeight w:val="300"/>
        </w:trPr>
        <w:tc>
          <w:tcPr>
            <w:tcW w:w="3315" w:type="dxa"/>
          </w:tcPr>
          <w:p w14:paraId="1A176B67"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0F800CFD" w14:textId="047EB566" w:rsidR="00927DC5" w:rsidRPr="005365AA" w:rsidRDefault="6850D9CD"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Ana Đerek</w:t>
            </w:r>
          </w:p>
        </w:tc>
      </w:tr>
      <w:tr w:rsidR="00927DC5" w:rsidRPr="005365AA" w14:paraId="28771E87" w14:textId="77777777" w:rsidTr="0752BA49">
        <w:trPr>
          <w:trHeight w:val="300"/>
        </w:trPr>
        <w:tc>
          <w:tcPr>
            <w:tcW w:w="3315" w:type="dxa"/>
            <w:hideMark/>
          </w:tcPr>
          <w:p w14:paraId="264C527F"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59058B15"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44B58044"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0206902A"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50D55E78"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532417D1" w14:textId="2BEACCD5" w:rsidR="00927DC5" w:rsidRPr="005365AA" w:rsidRDefault="2E2C2ECF"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 xml:space="preserve"> </w:t>
            </w:r>
          </w:p>
          <w:p w14:paraId="2495F8D1" w14:textId="469390FB" w:rsidR="00927DC5" w:rsidRPr="005365AA" w:rsidRDefault="46A71D0C"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 xml:space="preserve">    </w:t>
            </w:r>
            <w:r w:rsidR="2E2C2ECF" w:rsidRPr="0752BA49">
              <w:rPr>
                <w:rFonts w:eastAsiaTheme="minorEastAsia"/>
                <w:b/>
                <w:bCs/>
                <w:color w:val="4472C4" w:themeColor="accent1"/>
                <w:sz w:val="18"/>
                <w:szCs w:val="18"/>
                <w:lang w:eastAsia="hr-HR"/>
              </w:rPr>
              <w:t>3</w:t>
            </w:r>
          </w:p>
        </w:tc>
      </w:tr>
      <w:tr w:rsidR="00927DC5" w:rsidRPr="005365AA" w14:paraId="02345F67" w14:textId="77777777" w:rsidTr="0752BA49">
        <w:trPr>
          <w:trHeight w:val="300"/>
        </w:trPr>
        <w:tc>
          <w:tcPr>
            <w:tcW w:w="3315" w:type="dxa"/>
            <w:hideMark/>
          </w:tcPr>
          <w:p w14:paraId="7CDAE826"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7508E21A"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898E18C" w14:textId="544AE15D"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sz w:val="18"/>
                <w:szCs w:val="18"/>
                <w:lang w:eastAsia="hr-HR"/>
              </w:rPr>
              <w:t xml:space="preserve"> </w:t>
            </w:r>
            <w:r w:rsidRPr="0752BA49">
              <w:rPr>
                <w:rFonts w:eastAsiaTheme="minorEastAsia"/>
                <w:b/>
                <w:bCs/>
                <w:noProof/>
                <w:sz w:val="18"/>
                <w:szCs w:val="18"/>
                <w:lang w:val="en-US" w:eastAsia="hr-HR"/>
              </w:rPr>
              <w:t xml:space="preserve">Background </w:t>
            </w:r>
            <w:r w:rsidRPr="0752BA49">
              <w:rPr>
                <w:rFonts w:eastAsiaTheme="minorEastAsia"/>
                <w:noProof/>
                <w:sz w:val="18"/>
                <w:szCs w:val="18"/>
                <w:lang w:val="en-US" w:eastAsia="hr-HR"/>
              </w:rPr>
              <w:t>While the burgeoning researcher and practitioner interest in physical literacy has stimulated new assessment</w:t>
            </w:r>
          </w:p>
          <w:p w14:paraId="660BBD66" w14:textId="517F562F"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approaches, the optimal tool for assessment among school-aged children remains unclear.</w:t>
            </w:r>
          </w:p>
          <w:p w14:paraId="0B2B9792" w14:textId="29BAC950"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Objective </w:t>
            </w:r>
            <w:r w:rsidRPr="0752BA49">
              <w:rPr>
                <w:rFonts w:eastAsiaTheme="minorEastAsia"/>
                <w:noProof/>
                <w:sz w:val="18"/>
                <w:szCs w:val="18"/>
                <w:lang w:val="en-US" w:eastAsia="hr-HR"/>
              </w:rPr>
              <w:t>The purpose of this review was to: (i) identify assessment instruments designed to measure physical literacy in</w:t>
            </w:r>
          </w:p>
          <w:p w14:paraId="08DF36C9" w14:textId="0E2017A0"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school-aged children; (ii) map instruments to a holistic construct of physical literacy (as specified by the Australian Physical</w:t>
            </w:r>
          </w:p>
          <w:p w14:paraId="2E0A521C" w14:textId="0D1D90BF"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Literacy Framework); (iii) document the validity and reliability for these instruments; and (iv) assess the feasibility of these</w:t>
            </w:r>
          </w:p>
          <w:p w14:paraId="409DA297" w14:textId="7ED7823C"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instruments for use in school environments.</w:t>
            </w:r>
          </w:p>
          <w:p w14:paraId="6F4C2664" w14:textId="68B7AFE1"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Design </w:t>
            </w:r>
            <w:r w:rsidRPr="0752BA49">
              <w:rPr>
                <w:rFonts w:eastAsiaTheme="minorEastAsia"/>
                <w:noProof/>
                <w:sz w:val="18"/>
                <w:szCs w:val="18"/>
                <w:lang w:val="en-US" w:eastAsia="hr-HR"/>
              </w:rPr>
              <w:t>This systematic review (registered with PROSPERO on 21 August, 2022) was conducted in accordance with the</w:t>
            </w:r>
          </w:p>
          <w:p w14:paraId="323A64C7" w14:textId="0C04D61B"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Preferred Reporting Items for Systematic Review and Meta-Analysis (PRISMA) statement.</w:t>
            </w:r>
          </w:p>
          <w:p w14:paraId="3E99BA4D" w14:textId="088E21A2"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Data Sources Reviews of physical literacy assessments in the past 5 years (2017 +) were initially used to identify relevant</w:t>
            </w:r>
          </w:p>
          <w:p w14:paraId="41F91DC4" w14:textId="0C825A97"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assessments. Following that, a search (20 July, 2022) in six databases (CINAHL, ERIC, GlobalHealth, MEDLINE, PsycINFO,</w:t>
            </w:r>
          </w:p>
          <w:p w14:paraId="1271055F" w14:textId="3F31CA8F"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SPORTDiscus) was conducted for assessments that were missed/or published since publication of the reviews. Each</w:t>
            </w:r>
          </w:p>
          <w:p w14:paraId="42399333" w14:textId="40036331"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step of screening involved evaluation from two authors, with any issues resolved through discussion with a third author.</w:t>
            </w:r>
          </w:p>
          <w:p w14:paraId="3AC87E7B" w14:textId="23AB1C1A"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Nine instruments were identified from eight reviews. The database search identified 375 potential papers of which 67 full</w:t>
            </w:r>
          </w:p>
          <w:p w14:paraId="69BC48C3" w14:textId="1E7E425F"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text papers were screened, resulting in 39 papers relevant to a physical literacy assessment.</w:t>
            </w:r>
          </w:p>
          <w:p w14:paraId="7B6633AC" w14:textId="4247AC25"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Inclusion and Exclusion Criteria Instruments were classified against the Australian Physical Literacy Framework and needed</w:t>
            </w:r>
          </w:p>
          <w:p w14:paraId="5E93E23D" w14:textId="5AC9F3AD"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to have assessed at least three of the Australian Physical Literacy Framework domains (i.e., psychological, social, cognitive,</w:t>
            </w:r>
          </w:p>
          <w:p w14:paraId="7D17F417" w14:textId="51F76E76"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and/or physical).</w:t>
            </w:r>
          </w:p>
          <w:p w14:paraId="03162684" w14:textId="53463AB1"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Analyses </w:t>
            </w:r>
            <w:r w:rsidRPr="0752BA49">
              <w:rPr>
                <w:rFonts w:eastAsiaTheme="minorEastAsia"/>
                <w:noProof/>
                <w:sz w:val="18"/>
                <w:szCs w:val="18"/>
                <w:lang w:val="en-US" w:eastAsia="hr-HR"/>
              </w:rPr>
              <w:t>Instruments were assessed for five aspects of validity (test content, response processes, internal structure, relations</w:t>
            </w:r>
          </w:p>
          <w:p w14:paraId="693D34D1" w14:textId="09F42032"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with other variables, and the consequences of testing). Feasibility in schools was documented according to time, space,</w:t>
            </w:r>
          </w:p>
          <w:p w14:paraId="102749B2" w14:textId="7B060AAC"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equipment, training, and qualifications.</w:t>
            </w:r>
          </w:p>
          <w:p w14:paraId="7E7FD6C8" w14:textId="3140AE51"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Results </w:t>
            </w:r>
            <w:r w:rsidRPr="0752BA49">
              <w:rPr>
                <w:rFonts w:eastAsiaTheme="minorEastAsia"/>
                <w:noProof/>
                <w:sz w:val="18"/>
                <w:szCs w:val="18"/>
                <w:lang w:val="en-US" w:eastAsia="hr-HR"/>
              </w:rPr>
              <w:t>Assessments with more validity/reliability evidence, according to age, were as follows: for children, the Physical</w:t>
            </w:r>
          </w:p>
          <w:p w14:paraId="3FE03F40" w14:textId="1DDF6FEB"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Literacy in Children Questionnaire (PL-C Quest) and Passport for Life (PFL). For older children and adolescents, the Canadian</w:t>
            </w:r>
          </w:p>
          <w:p w14:paraId="5E07000D" w14:textId="2C318C40"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Assessment for Physical Literacy (CAPL version 2). For adolescents, the Adolescent Physical Literacy Questionnaire</w:t>
            </w:r>
          </w:p>
          <w:p w14:paraId="65F1EF37" w14:textId="124812A2"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(APLQ) and Portuguese Physical Literacy Assessment Questionnaire (PPLA-Q). Survey-based instruments were appraised</w:t>
            </w:r>
          </w:p>
          <w:p w14:paraId="02C68BFA" w14:textId="6766695D"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to be the most feasible to administer in schools.</w:t>
            </w:r>
          </w:p>
          <w:p w14:paraId="49876A1D" w14:textId="1495D1F6"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b/>
                <w:bCs/>
                <w:noProof/>
                <w:sz w:val="18"/>
                <w:szCs w:val="18"/>
                <w:lang w:val="en-US" w:eastAsia="hr-HR"/>
              </w:rPr>
              <w:t xml:space="preserve">Conclusions </w:t>
            </w:r>
            <w:r w:rsidRPr="0752BA49">
              <w:rPr>
                <w:rFonts w:eastAsiaTheme="minorEastAsia"/>
                <w:noProof/>
                <w:sz w:val="18"/>
                <w:szCs w:val="18"/>
                <w:lang w:val="en-US" w:eastAsia="hr-HR"/>
              </w:rPr>
              <w:t>This review identified optimal physical literacy assessments for children and adolescents based on current</w:t>
            </w:r>
          </w:p>
          <w:p w14:paraId="06FEE8F2" w14:textId="361F7E29"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validity and reliability data. Instrument validity for specific populations was a clear gap, particularly for children with disability.</w:t>
            </w:r>
          </w:p>
          <w:p w14:paraId="31C84B2A" w14:textId="544CA362"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While survey-based instruments were deemed the most feasible for use in schools, a comprehensive assessment may</w:t>
            </w:r>
          </w:p>
          <w:p w14:paraId="73A9064F" w14:textId="68CC735B"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arguably require objective measures for elements in the physical domain. If a physical literacy assessment in schools is to be</w:t>
            </w:r>
          </w:p>
          <w:p w14:paraId="6BDC2A62" w14:textId="0E2C4194"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performed by teachers, this may require linking physical literacy to the curriculum and developing teachers’ skills to develop</w:t>
            </w:r>
          </w:p>
          <w:p w14:paraId="70D6F9A7" w14:textId="0519B999" w:rsidR="00927DC5" w:rsidRPr="005365AA" w:rsidRDefault="09531F3A" w:rsidP="0752BA49">
            <w:pPr>
              <w:spacing w:after="0" w:line="240" w:lineRule="auto"/>
              <w:textAlignment w:val="baseline"/>
              <w:rPr>
                <w:rFonts w:eastAsiaTheme="minorEastAsia"/>
                <w:noProof/>
                <w:sz w:val="18"/>
                <w:szCs w:val="18"/>
                <w:lang w:val="en-US" w:eastAsia="hr-HR"/>
              </w:rPr>
            </w:pPr>
            <w:r w:rsidRPr="0752BA49">
              <w:rPr>
                <w:rFonts w:eastAsiaTheme="minorEastAsia"/>
                <w:noProof/>
                <w:sz w:val="18"/>
                <w:szCs w:val="18"/>
                <w:lang w:val="en-US" w:eastAsia="hr-HR"/>
              </w:rPr>
              <w:t xml:space="preserve">and assess children’s physical literacy. </w:t>
            </w:r>
          </w:p>
        </w:tc>
      </w:tr>
      <w:tr w:rsidR="00927DC5" w:rsidRPr="005365AA" w14:paraId="77C652CC" w14:textId="77777777" w:rsidTr="0752BA49">
        <w:trPr>
          <w:trHeight w:val="300"/>
        </w:trPr>
        <w:tc>
          <w:tcPr>
            <w:tcW w:w="3315" w:type="dxa"/>
            <w:hideMark/>
          </w:tcPr>
          <w:p w14:paraId="2E3C9CE7"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665C2362" w14:textId="77777777" w:rsidR="00927DC5" w:rsidRPr="005365AA" w:rsidRDefault="00927DC5" w:rsidP="0752BA49">
            <w:pPr>
              <w:spacing w:after="0" w:line="240" w:lineRule="auto"/>
              <w:textAlignment w:val="baseline"/>
              <w:rPr>
                <w:rFonts w:eastAsiaTheme="minorEastAsia"/>
                <w:sz w:val="18"/>
                <w:szCs w:val="18"/>
                <w:lang w:eastAsia="hr-HR"/>
              </w:rPr>
            </w:pPr>
          </w:p>
        </w:tc>
      </w:tr>
      <w:tr w:rsidR="00927DC5" w:rsidRPr="005365AA" w14:paraId="2093675C" w14:textId="77777777" w:rsidTr="0752BA49">
        <w:trPr>
          <w:trHeight w:val="300"/>
        </w:trPr>
        <w:tc>
          <w:tcPr>
            <w:tcW w:w="3315" w:type="dxa"/>
            <w:hideMark/>
          </w:tcPr>
          <w:p w14:paraId="0E63410B"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10C2E9E3" w14:textId="77F8B049" w:rsidR="00927DC5" w:rsidRPr="005365AA" w:rsidRDefault="00B49650" w:rsidP="0752BA49">
            <w:pPr>
              <w:spacing w:after="0" w:line="240" w:lineRule="auto"/>
              <w:textAlignment w:val="baseline"/>
              <w:rPr>
                <w:rFonts w:eastAsiaTheme="minorEastAsia"/>
                <w:sz w:val="18"/>
                <w:szCs w:val="18"/>
                <w:lang w:val="hr"/>
              </w:rPr>
            </w:pPr>
            <w:r w:rsidRPr="0752BA49">
              <w:rPr>
                <w:rFonts w:eastAsiaTheme="minorEastAsia"/>
                <w:sz w:val="18"/>
                <w:szCs w:val="18"/>
                <w:lang w:eastAsia="hr-HR"/>
              </w:rPr>
              <w:t xml:space="preserve"> </w:t>
            </w:r>
            <w:r w:rsidRPr="0752BA49">
              <w:rPr>
                <w:rFonts w:eastAsiaTheme="minorEastAsia"/>
                <w:sz w:val="18"/>
                <w:szCs w:val="18"/>
                <w:lang w:val="hr"/>
              </w:rPr>
              <w:t xml:space="preserve">Svrha ovog preglednog rada bila je: (i) identificirati instrumente za procjenu tjelesne pismenosti kod djece školske dobi; (ii) mapirati instrumente na holistički konstrukt tjelesne pismenosti (kako je određeno u Australskom okviru za tjelesnu pismenost); (iii) provjeriti valjanost i pouzdanost ovih instrumenata; i (iv) procijeniti </w:t>
            </w:r>
            <w:r w:rsidR="50D16E2A" w:rsidRPr="0752BA49">
              <w:rPr>
                <w:rFonts w:eastAsiaTheme="minorEastAsia"/>
                <w:sz w:val="18"/>
                <w:szCs w:val="18"/>
                <w:lang w:val="hr"/>
              </w:rPr>
              <w:t>mogućnost korištenja</w:t>
            </w:r>
            <w:r w:rsidRPr="0752BA49">
              <w:rPr>
                <w:rFonts w:eastAsiaTheme="minorEastAsia"/>
                <w:sz w:val="18"/>
                <w:szCs w:val="18"/>
                <w:lang w:val="hr"/>
              </w:rPr>
              <w:t xml:space="preserve"> ovih instrumenata u školskim okruženjima.</w:t>
            </w:r>
          </w:p>
        </w:tc>
      </w:tr>
      <w:tr w:rsidR="00927DC5" w:rsidRPr="005365AA" w14:paraId="4AFD16BE" w14:textId="77777777" w:rsidTr="0752BA49">
        <w:trPr>
          <w:trHeight w:val="300"/>
        </w:trPr>
        <w:tc>
          <w:tcPr>
            <w:tcW w:w="3315" w:type="dxa"/>
            <w:hideMark/>
          </w:tcPr>
          <w:p w14:paraId="51F0E93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2230F1E7"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4ABCE07E" w14:textId="79F91790" w:rsidR="00927DC5" w:rsidRPr="005365AA" w:rsidRDefault="3E8526ED"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Instrumenti za procjenu tjelesne pismenosti koji su pokazali zadovoljavajuću valjanost i pouzdanost bili su sljedeći: </w:t>
            </w:r>
            <w:r w:rsidR="23CE28CB" w:rsidRPr="0752BA49">
              <w:rPr>
                <w:rFonts w:eastAsiaTheme="minorEastAsia"/>
                <w:sz w:val="18"/>
                <w:szCs w:val="18"/>
                <w:lang w:eastAsia="hr-HR"/>
              </w:rPr>
              <w:t>za mlađu djecu (PL</w:t>
            </w:r>
            <w:r w:rsidR="61FC2EE4" w:rsidRPr="0752BA49">
              <w:rPr>
                <w:rFonts w:eastAsiaTheme="minorEastAsia"/>
                <w:sz w:val="18"/>
                <w:szCs w:val="18"/>
                <w:lang w:eastAsia="hr-HR"/>
              </w:rPr>
              <w:t>-</w:t>
            </w:r>
            <w:r w:rsidR="23CE28CB" w:rsidRPr="0752BA49">
              <w:rPr>
                <w:rFonts w:eastAsiaTheme="minorEastAsia"/>
                <w:sz w:val="18"/>
                <w:szCs w:val="18"/>
                <w:lang w:eastAsia="hr-HR"/>
              </w:rPr>
              <w:t>C Quest i Passport for Life), za stariju djecu i adolescente (CAPL-2</w:t>
            </w:r>
            <w:r w:rsidR="205EDB29" w:rsidRPr="0752BA49">
              <w:rPr>
                <w:rFonts w:eastAsiaTheme="minorEastAsia"/>
                <w:sz w:val="18"/>
                <w:szCs w:val="18"/>
                <w:lang w:eastAsia="hr-HR"/>
              </w:rPr>
              <w:t xml:space="preserve">), za adolescente (APLQ i Portuguese Physical Literacy </w:t>
            </w:r>
            <w:r w:rsidR="34A81DD2" w:rsidRPr="0752BA49">
              <w:rPr>
                <w:rFonts w:eastAsiaTheme="minorEastAsia"/>
                <w:sz w:val="18"/>
                <w:szCs w:val="18"/>
                <w:lang w:eastAsia="hr-HR"/>
              </w:rPr>
              <w:t xml:space="preserve">Assessment </w:t>
            </w:r>
            <w:r w:rsidR="205EDB29" w:rsidRPr="0752BA49">
              <w:rPr>
                <w:rFonts w:eastAsiaTheme="minorEastAsia"/>
                <w:sz w:val="18"/>
                <w:szCs w:val="18"/>
                <w:lang w:eastAsia="hr-HR"/>
              </w:rPr>
              <w:t>Questionnaire</w:t>
            </w:r>
            <w:r w:rsidR="6FA47C9E" w:rsidRPr="0752BA49">
              <w:rPr>
                <w:rFonts w:eastAsiaTheme="minorEastAsia"/>
                <w:sz w:val="18"/>
                <w:szCs w:val="18"/>
                <w:lang w:eastAsia="hr-HR"/>
              </w:rPr>
              <w:t>.</w:t>
            </w:r>
          </w:p>
        </w:tc>
      </w:tr>
      <w:tr w:rsidR="00927DC5" w:rsidRPr="005365AA" w14:paraId="7A5D55E3" w14:textId="77777777" w:rsidTr="0752BA49">
        <w:trPr>
          <w:trHeight w:val="300"/>
        </w:trPr>
        <w:tc>
          <w:tcPr>
            <w:tcW w:w="3315" w:type="dxa"/>
            <w:hideMark/>
          </w:tcPr>
          <w:p w14:paraId="6A5E501C"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3F344140"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2B8107C" w14:textId="696613C7" w:rsidR="00927DC5" w:rsidRPr="005365AA" w:rsidRDefault="63FA8A5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 Ovaj rad</w:t>
            </w:r>
            <w:r w:rsidR="48892E42" w:rsidRPr="0752BA49">
              <w:rPr>
                <w:rFonts w:eastAsiaTheme="minorEastAsia"/>
                <w:sz w:val="18"/>
                <w:szCs w:val="18"/>
                <w:lang w:eastAsia="hr-HR"/>
              </w:rPr>
              <w:t xml:space="preserve"> daje uvid u valjanost i pouzdanost određenih instrumenata za procjenu tjelesne pismenosti ovisno o dobi djece. Kod CAPL-2 stoji da je namijenjen za stariju djec</w:t>
            </w:r>
            <w:r w:rsidR="1D2B365A" w:rsidRPr="0752BA49">
              <w:rPr>
                <w:rFonts w:eastAsiaTheme="minorEastAsia"/>
                <w:sz w:val="18"/>
                <w:szCs w:val="18"/>
                <w:lang w:eastAsia="hr-HR"/>
              </w:rPr>
              <w:t xml:space="preserve">u i adolescente (iako je upitnik originalno za djecu od 8-12 godina). </w:t>
            </w:r>
          </w:p>
        </w:tc>
      </w:tr>
      <w:tr w:rsidR="00927DC5" w:rsidRPr="005365AA" w14:paraId="00C0DC28" w14:textId="77777777" w:rsidTr="0752BA49">
        <w:trPr>
          <w:trHeight w:val="300"/>
        </w:trPr>
        <w:tc>
          <w:tcPr>
            <w:tcW w:w="3315" w:type="dxa"/>
            <w:hideMark/>
          </w:tcPr>
          <w:p w14:paraId="69B4D46E"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5946809D"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4D7590EC" w14:textId="01CAAB33" w:rsidR="00927DC5" w:rsidRDefault="00927DC5" w:rsidP="005365A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6242"/>
      </w:tblGrid>
      <w:tr w:rsidR="00927DC5" w:rsidRPr="005365AA" w14:paraId="37EDA321" w14:textId="77777777" w:rsidTr="0752BA49">
        <w:trPr>
          <w:trHeight w:val="300"/>
        </w:trPr>
        <w:tc>
          <w:tcPr>
            <w:tcW w:w="2820" w:type="dxa"/>
            <w:hideMark/>
          </w:tcPr>
          <w:p w14:paraId="1278EEB4" w14:textId="7ED44D81" w:rsidR="00927DC5" w:rsidRPr="005365AA" w:rsidRDefault="33D10D42"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eastAsia="hr-HR"/>
              </w:rPr>
              <w:t>Referenca</w:t>
            </w:r>
            <w:r w:rsidR="07CF38BD" w:rsidRPr="0752BA49">
              <w:rPr>
                <w:rFonts w:ascii="Calibri" w:eastAsia="Calibri" w:hAnsi="Calibri" w:cs="Calibri"/>
                <w:b/>
                <w:bCs/>
                <w:color w:val="000000" w:themeColor="text1"/>
                <w:sz w:val="18"/>
                <w:szCs w:val="18"/>
                <w:lang w:eastAsia="hr-HR"/>
              </w:rPr>
              <w:t> </w:t>
            </w:r>
          </w:p>
        </w:tc>
        <w:tc>
          <w:tcPr>
            <w:tcW w:w="6242" w:type="dxa"/>
          </w:tcPr>
          <w:p w14:paraId="446A2A82" w14:textId="3A137999" w:rsidR="00927DC5" w:rsidRPr="005365AA" w:rsidRDefault="478B5658" w:rsidP="0752BA49">
            <w:pPr>
              <w:spacing w:after="0" w:line="240" w:lineRule="auto"/>
              <w:textAlignment w:val="baseline"/>
              <w:rPr>
                <w:rFonts w:ascii="Calibri" w:eastAsia="Calibri" w:hAnsi="Calibri" w:cs="Calibri"/>
                <w:sz w:val="18"/>
                <w:szCs w:val="18"/>
                <w:lang w:val="en-US"/>
              </w:rPr>
            </w:pPr>
            <w:r w:rsidRPr="0752BA49">
              <w:rPr>
                <w:rFonts w:ascii="Calibri" w:eastAsia="Calibri" w:hAnsi="Calibri" w:cs="Calibri"/>
                <w:sz w:val="18"/>
                <w:szCs w:val="18"/>
                <w:lang w:val="en-US"/>
              </w:rPr>
              <w:t xml:space="preserve">Kucera, M., Tomaskova, H., Stodola, M., </w:t>
            </w:r>
            <w:r w:rsidRPr="0752BA49">
              <w:rPr>
                <w:rFonts w:ascii="Calibri" w:eastAsia="Calibri" w:hAnsi="Calibri" w:cs="Calibri"/>
                <w:i/>
                <w:iCs/>
                <w:sz w:val="18"/>
                <w:szCs w:val="18"/>
                <w:lang w:val="en-US"/>
              </w:rPr>
              <w:t>et al.</w:t>
            </w:r>
            <w:r w:rsidRPr="0752BA49">
              <w:rPr>
                <w:rFonts w:ascii="Calibri" w:eastAsia="Calibri" w:hAnsi="Calibri" w:cs="Calibri"/>
                <w:sz w:val="18"/>
                <w:szCs w:val="18"/>
                <w:lang w:val="en-US"/>
              </w:rPr>
              <w:t xml:space="preserve"> (2023). A systematic review of mental health literacy measures for children and adolescents. </w:t>
            </w:r>
            <w:r w:rsidRPr="0752BA49">
              <w:rPr>
                <w:rFonts w:ascii="Calibri" w:eastAsia="Calibri" w:hAnsi="Calibri" w:cs="Calibri"/>
                <w:i/>
                <w:iCs/>
                <w:sz w:val="18"/>
                <w:szCs w:val="18"/>
                <w:lang w:val="en-US"/>
              </w:rPr>
              <w:t>Adolescent Research Review, 8</w:t>
            </w:r>
            <w:r w:rsidRPr="0752BA49">
              <w:rPr>
                <w:rFonts w:ascii="Calibri" w:eastAsia="Calibri" w:hAnsi="Calibri" w:cs="Calibri"/>
                <w:sz w:val="18"/>
                <w:szCs w:val="18"/>
                <w:lang w:val="en-US"/>
              </w:rPr>
              <w:t xml:space="preserve">(3), 339–358. </w:t>
            </w:r>
            <w:hyperlink r:id="rId16">
              <w:r w:rsidRPr="0752BA49">
                <w:rPr>
                  <w:rStyle w:val="Hiperveza"/>
                  <w:rFonts w:ascii="Calibri" w:eastAsia="Calibri" w:hAnsi="Calibri" w:cs="Calibri"/>
                  <w:sz w:val="18"/>
                  <w:szCs w:val="18"/>
                  <w:lang w:val="en-US"/>
                </w:rPr>
                <w:t>https://doi.org/10.1007/s40894-022-00202-8</w:t>
              </w:r>
            </w:hyperlink>
          </w:p>
        </w:tc>
      </w:tr>
      <w:tr w:rsidR="00927DC5" w:rsidRPr="005365AA" w14:paraId="6DD7E793" w14:textId="77777777" w:rsidTr="0752BA49">
        <w:trPr>
          <w:trHeight w:val="300"/>
        </w:trPr>
        <w:tc>
          <w:tcPr>
            <w:tcW w:w="2820" w:type="dxa"/>
            <w:hideMark/>
          </w:tcPr>
          <w:p w14:paraId="32980407"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Link</w:t>
            </w:r>
            <w:r w:rsidRPr="0752BA49">
              <w:rPr>
                <w:rFonts w:ascii="Calibri" w:eastAsia="Calibri" w:hAnsi="Calibri" w:cs="Calibri"/>
                <w:b/>
                <w:bCs/>
                <w:color w:val="000000" w:themeColor="text1"/>
                <w:sz w:val="18"/>
                <w:szCs w:val="18"/>
                <w:lang w:eastAsia="hr-HR"/>
              </w:rPr>
              <w:t> </w:t>
            </w:r>
          </w:p>
        </w:tc>
        <w:tc>
          <w:tcPr>
            <w:tcW w:w="6242" w:type="dxa"/>
          </w:tcPr>
          <w:p w14:paraId="0CDF4E9F" w14:textId="00F9148A" w:rsidR="00927DC5" w:rsidRPr="005365AA" w:rsidRDefault="01920C6F"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https://doi.org/10.1007/s40894-022-00202-8</w:t>
            </w:r>
          </w:p>
        </w:tc>
      </w:tr>
      <w:tr w:rsidR="00927DC5" w:rsidRPr="005365AA" w14:paraId="1CA671C7" w14:textId="77777777" w:rsidTr="0752BA49">
        <w:trPr>
          <w:trHeight w:val="300"/>
        </w:trPr>
        <w:tc>
          <w:tcPr>
            <w:tcW w:w="2820" w:type="dxa"/>
            <w:hideMark/>
          </w:tcPr>
          <w:p w14:paraId="0EDBECFD"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Područje-tema</w:t>
            </w:r>
          </w:p>
        </w:tc>
        <w:tc>
          <w:tcPr>
            <w:tcW w:w="6242" w:type="dxa"/>
          </w:tcPr>
          <w:p w14:paraId="261F5FAF" w14:textId="6992E653" w:rsidR="00927DC5" w:rsidRPr="005365AA" w:rsidRDefault="2A3021C2"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Mentalno-zdravstvena pismenost</w:t>
            </w:r>
          </w:p>
        </w:tc>
      </w:tr>
      <w:tr w:rsidR="00927DC5" w:rsidRPr="005365AA" w14:paraId="2F89C885" w14:textId="77777777" w:rsidTr="0752BA49">
        <w:trPr>
          <w:trHeight w:val="300"/>
        </w:trPr>
        <w:tc>
          <w:tcPr>
            <w:tcW w:w="2820" w:type="dxa"/>
          </w:tcPr>
          <w:p w14:paraId="3867916C" w14:textId="77777777" w:rsidR="00927DC5" w:rsidRPr="005365AA" w:rsidRDefault="07CF38BD" w:rsidP="0752BA49">
            <w:pPr>
              <w:spacing w:after="0" w:line="240" w:lineRule="auto"/>
              <w:textAlignment w:val="baseline"/>
              <w:rPr>
                <w:rFonts w:ascii="Calibri" w:eastAsia="Calibri" w:hAnsi="Calibri" w:cs="Calibri"/>
                <w:b/>
                <w:bCs/>
                <w:color w:val="000000"/>
                <w:sz w:val="18"/>
                <w:szCs w:val="18"/>
                <w:lang w:val="en-GB" w:eastAsia="hr-HR"/>
              </w:rPr>
            </w:pPr>
            <w:r w:rsidRPr="0752BA49">
              <w:rPr>
                <w:rFonts w:ascii="Calibri" w:eastAsia="Calibri" w:hAnsi="Calibri" w:cs="Calibri"/>
                <w:b/>
                <w:bCs/>
                <w:color w:val="000000" w:themeColor="text1"/>
                <w:sz w:val="18"/>
                <w:szCs w:val="18"/>
                <w:lang w:val="en-GB" w:eastAsia="hr-HR"/>
              </w:rPr>
              <w:t>Pripremila/pripremio</w:t>
            </w:r>
          </w:p>
        </w:tc>
        <w:tc>
          <w:tcPr>
            <w:tcW w:w="6242" w:type="dxa"/>
          </w:tcPr>
          <w:p w14:paraId="7842A390" w14:textId="67AAA77D" w:rsidR="00927DC5" w:rsidRPr="005365AA" w:rsidRDefault="6B4E063C"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Vedran Jakobek</w:t>
            </w:r>
          </w:p>
        </w:tc>
      </w:tr>
      <w:tr w:rsidR="00927DC5" w:rsidRPr="005365AA" w14:paraId="6CB03655" w14:textId="77777777" w:rsidTr="0752BA49">
        <w:trPr>
          <w:trHeight w:val="300"/>
        </w:trPr>
        <w:tc>
          <w:tcPr>
            <w:tcW w:w="2820" w:type="dxa"/>
            <w:hideMark/>
          </w:tcPr>
          <w:p w14:paraId="53DE5DDF" w14:textId="77777777" w:rsidR="00927DC5" w:rsidRPr="005365AA" w:rsidRDefault="07CF38BD" w:rsidP="0752BA49">
            <w:pPr>
              <w:spacing w:after="0" w:line="240" w:lineRule="exact"/>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Categorisation</w:t>
            </w:r>
            <w:r w:rsidRPr="0752BA49">
              <w:rPr>
                <w:rFonts w:ascii="Calibri" w:eastAsia="Calibri" w:hAnsi="Calibri" w:cs="Calibri"/>
                <w:b/>
                <w:bCs/>
                <w:color w:val="000000" w:themeColor="text1"/>
                <w:sz w:val="18"/>
                <w:szCs w:val="18"/>
                <w:lang w:eastAsia="hr-HR"/>
              </w:rPr>
              <w:t> </w:t>
            </w:r>
          </w:p>
          <w:p w14:paraId="14C41FC3" w14:textId="77777777" w:rsidR="00927DC5" w:rsidRPr="005365AA" w:rsidRDefault="07CF38BD" w:rsidP="0752BA49">
            <w:pPr>
              <w:spacing w:after="0" w:line="240" w:lineRule="exact"/>
              <w:textAlignment w:val="baseline"/>
              <w:rPr>
                <w:rFonts w:ascii="Calibri" w:eastAsia="Calibri" w:hAnsi="Calibri" w:cs="Calibri"/>
                <w:b/>
                <w:bCs/>
                <w:sz w:val="18"/>
                <w:szCs w:val="18"/>
                <w:lang w:eastAsia="hr-HR"/>
              </w:rPr>
            </w:pPr>
            <w:r w:rsidRPr="0752BA49">
              <w:rPr>
                <w:rFonts w:ascii="Calibri" w:eastAsia="Calibri" w:hAnsi="Calibri" w:cs="Calibri"/>
                <w:color w:val="000000" w:themeColor="text1"/>
                <w:sz w:val="18"/>
                <w:szCs w:val="18"/>
                <w:lang w:val="en-GB" w:eastAsia="hr-HR"/>
              </w:rPr>
              <w:t>1 – esencijalan</w:t>
            </w:r>
          </w:p>
          <w:p w14:paraId="430336F5" w14:textId="77777777" w:rsidR="00927DC5" w:rsidRPr="005365AA" w:rsidRDefault="07CF38BD" w:rsidP="0752BA49">
            <w:pPr>
              <w:spacing w:after="0" w:line="240" w:lineRule="exact"/>
              <w:textAlignment w:val="baseline"/>
              <w:rPr>
                <w:rFonts w:ascii="Calibri" w:eastAsia="Calibri" w:hAnsi="Calibri" w:cs="Calibri"/>
                <w:b/>
                <w:bCs/>
                <w:sz w:val="18"/>
                <w:szCs w:val="18"/>
                <w:lang w:eastAsia="hr-HR"/>
              </w:rPr>
            </w:pPr>
            <w:r w:rsidRPr="0752BA49">
              <w:rPr>
                <w:rFonts w:ascii="Calibri" w:eastAsia="Calibri" w:hAnsi="Calibri" w:cs="Calibri"/>
                <w:color w:val="000000" w:themeColor="text1"/>
                <w:sz w:val="18"/>
                <w:szCs w:val="18"/>
                <w:lang w:val="en-GB" w:eastAsia="hr-HR"/>
              </w:rPr>
              <w:t>2 – koristan</w:t>
            </w:r>
          </w:p>
          <w:p w14:paraId="6D603AE7" w14:textId="77777777" w:rsidR="00927DC5" w:rsidRPr="005365AA" w:rsidRDefault="07CF38BD" w:rsidP="0752BA49">
            <w:pPr>
              <w:spacing w:after="0" w:line="240" w:lineRule="exact"/>
              <w:textAlignment w:val="baseline"/>
              <w:rPr>
                <w:rFonts w:ascii="Calibri" w:eastAsia="Calibri" w:hAnsi="Calibri" w:cs="Calibri"/>
                <w:b/>
                <w:bCs/>
                <w:sz w:val="18"/>
                <w:szCs w:val="18"/>
                <w:lang w:eastAsia="hr-HR"/>
              </w:rPr>
            </w:pPr>
            <w:r w:rsidRPr="0752BA49">
              <w:rPr>
                <w:rFonts w:ascii="Calibri" w:eastAsia="Calibri" w:hAnsi="Calibri" w:cs="Calibri"/>
                <w:color w:val="000000" w:themeColor="text1"/>
                <w:sz w:val="18"/>
                <w:szCs w:val="18"/>
                <w:lang w:val="en-GB" w:eastAsia="hr-HR"/>
              </w:rPr>
              <w:t>3 – potencijalno koristan</w:t>
            </w:r>
          </w:p>
          <w:p w14:paraId="1FC0B152" w14:textId="77777777" w:rsidR="00927DC5" w:rsidRPr="005365AA" w:rsidRDefault="07CF38BD" w:rsidP="0752BA49">
            <w:pPr>
              <w:spacing w:after="0" w:line="240" w:lineRule="exact"/>
              <w:textAlignment w:val="baseline"/>
              <w:rPr>
                <w:rFonts w:ascii="Calibri" w:eastAsia="Calibri" w:hAnsi="Calibri" w:cs="Calibri"/>
                <w:b/>
                <w:bCs/>
                <w:sz w:val="18"/>
                <w:szCs w:val="18"/>
                <w:lang w:eastAsia="hr-HR"/>
              </w:rPr>
            </w:pPr>
            <w:r w:rsidRPr="0752BA49">
              <w:rPr>
                <w:rFonts w:ascii="Calibri" w:eastAsia="Calibri" w:hAnsi="Calibri" w:cs="Calibri"/>
                <w:color w:val="000000" w:themeColor="text1"/>
                <w:sz w:val="18"/>
                <w:szCs w:val="18"/>
                <w:lang w:val="en-GB" w:eastAsia="hr-HR"/>
              </w:rPr>
              <w:t>4 – ima zanimljiv dio</w:t>
            </w:r>
            <w:r w:rsidRPr="0752BA49">
              <w:rPr>
                <w:rFonts w:ascii="Calibri" w:eastAsia="Calibri" w:hAnsi="Calibri" w:cs="Calibri"/>
                <w:b/>
                <w:bCs/>
                <w:color w:val="000000" w:themeColor="text1"/>
                <w:sz w:val="18"/>
                <w:szCs w:val="18"/>
                <w:lang w:eastAsia="hr-HR"/>
              </w:rPr>
              <w:t> </w:t>
            </w:r>
          </w:p>
        </w:tc>
        <w:tc>
          <w:tcPr>
            <w:tcW w:w="6242" w:type="dxa"/>
          </w:tcPr>
          <w:p w14:paraId="4061E992" w14:textId="32CECE16" w:rsidR="723C9DD8" w:rsidRDefault="723C9DD8" w:rsidP="0752BA49">
            <w:pPr>
              <w:spacing w:after="0" w:line="240" w:lineRule="exact"/>
              <w:rPr>
                <w:rFonts w:ascii="Calibri" w:eastAsia="Calibri" w:hAnsi="Calibri" w:cs="Calibri"/>
                <w:b/>
                <w:bCs/>
                <w:color w:val="4472C4" w:themeColor="accent1"/>
                <w:sz w:val="18"/>
                <w:szCs w:val="18"/>
                <w:lang w:eastAsia="hr-HR"/>
              </w:rPr>
            </w:pPr>
          </w:p>
          <w:p w14:paraId="3E5F64F1" w14:textId="44F36FDF" w:rsidR="00927DC5" w:rsidRPr="005365AA" w:rsidRDefault="277CE7E7" w:rsidP="0752BA49">
            <w:pPr>
              <w:spacing w:after="0" w:line="240" w:lineRule="exact"/>
              <w:textAlignment w:val="baseline"/>
              <w:rPr>
                <w:rFonts w:ascii="Calibri" w:eastAsia="Calibri" w:hAnsi="Calibri" w:cs="Calibri"/>
                <w:b/>
                <w:bCs/>
                <w:color w:val="4472C4" w:themeColor="accent1"/>
                <w:sz w:val="18"/>
                <w:szCs w:val="18"/>
                <w:lang w:eastAsia="hr-HR"/>
              </w:rPr>
            </w:pPr>
            <w:r w:rsidRPr="0752BA49">
              <w:rPr>
                <w:rFonts w:ascii="Calibri" w:eastAsia="Calibri" w:hAnsi="Calibri" w:cs="Calibri"/>
                <w:b/>
                <w:bCs/>
                <w:color w:val="4472C4" w:themeColor="accent1"/>
                <w:sz w:val="18"/>
                <w:szCs w:val="18"/>
                <w:lang w:eastAsia="hr-HR"/>
              </w:rPr>
              <w:t xml:space="preserve">   </w:t>
            </w:r>
            <w:r w:rsidR="1B02E709" w:rsidRPr="0752BA49">
              <w:rPr>
                <w:rFonts w:ascii="Calibri" w:eastAsia="Calibri" w:hAnsi="Calibri" w:cs="Calibri"/>
                <w:b/>
                <w:bCs/>
                <w:color w:val="4472C4" w:themeColor="accent1"/>
                <w:sz w:val="18"/>
                <w:szCs w:val="18"/>
                <w:lang w:eastAsia="hr-HR"/>
              </w:rPr>
              <w:t>2</w:t>
            </w:r>
          </w:p>
        </w:tc>
      </w:tr>
      <w:tr w:rsidR="00927DC5" w:rsidRPr="005365AA" w14:paraId="70D11A8A" w14:textId="77777777" w:rsidTr="0752BA49">
        <w:trPr>
          <w:trHeight w:val="300"/>
        </w:trPr>
        <w:tc>
          <w:tcPr>
            <w:tcW w:w="2820" w:type="dxa"/>
            <w:hideMark/>
          </w:tcPr>
          <w:p w14:paraId="3F215157" w14:textId="77777777" w:rsidR="00927DC5" w:rsidRPr="00FD688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sz w:val="18"/>
                <w:szCs w:val="18"/>
                <w:lang w:eastAsia="hr-HR"/>
              </w:rPr>
              <w:t>Sažetak (kopija)</w:t>
            </w:r>
          </w:p>
          <w:p w14:paraId="7C3A572F"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eastAsia="hr-HR"/>
              </w:rPr>
              <w:t> </w:t>
            </w:r>
          </w:p>
        </w:tc>
        <w:tc>
          <w:tcPr>
            <w:tcW w:w="6242" w:type="dxa"/>
          </w:tcPr>
          <w:p w14:paraId="652FAB72" w14:textId="6E0A86ED" w:rsidR="00927DC5" w:rsidRPr="005365AA" w:rsidRDefault="196D1362" w:rsidP="0752BA49">
            <w:pPr>
              <w:spacing w:after="0" w:line="240" w:lineRule="auto"/>
              <w:textAlignment w:val="baseline"/>
              <w:rPr>
                <w:rFonts w:ascii="Calibri" w:eastAsia="Calibri" w:hAnsi="Calibri" w:cs="Calibri"/>
                <w:sz w:val="18"/>
                <w:szCs w:val="18"/>
                <w:lang w:val="en-US" w:eastAsia="hr-HR"/>
              </w:rPr>
            </w:pPr>
            <w:r w:rsidRPr="0752BA49">
              <w:rPr>
                <w:rFonts w:ascii="Calibri" w:eastAsia="Calibri" w:hAnsi="Calibri" w:cs="Calibri"/>
                <w:sz w:val="18"/>
                <w:szCs w:val="18"/>
                <w:lang w:val="en-US" w:eastAsia="hr-HR"/>
              </w:rPr>
              <w:t>Mental health literacy is an essential part of preventing mental illnesses. However, the quality of mental health literacy measures remain unknown, as does its universality across various settings and populations. Few studies focus on measures aimed at assessing mental health literacy of children and adolescents that covers knowledge about mental health and mental disorders, strategies to decrease stigma, and enhancement of help-seeking efficacy. The present study aimed to conduct a systematic search to find available measures of mental health literacy of children and adolescents under the age of 19 years. The following databases were searched: Web of Science, PubMed, PsycINFO, MEDLINE, ERIC and CINAHL Plus. COSMIN checklist was applied to assess the methodological quality of each study. Twenty-one mental health literacy measures were identified in 18studies. The quality of the studies ranged between very good and inadequate. Sixteen measures were universal, implying that they were not diagnostic specific. Two measures scored a full score of four on mental health literacy comprehensiveness. This review revealed that the overall quality of the measurement properties was mixed, that there are limited measures available to evaluate non-diagnostic-specific mental health literacy in universal populations of children and adolescents, and that measures fail to cover key mental health literacy components of knowledge of mental health, illness, stigma, and help-seeking. New measures should be developed to cover this gap in the field of child and adolescent mental health.</w:t>
            </w:r>
          </w:p>
        </w:tc>
      </w:tr>
      <w:tr w:rsidR="00927DC5" w:rsidRPr="005365AA" w14:paraId="45E16BDD" w14:textId="77777777" w:rsidTr="0752BA49">
        <w:trPr>
          <w:trHeight w:val="300"/>
        </w:trPr>
        <w:tc>
          <w:tcPr>
            <w:tcW w:w="2820" w:type="dxa"/>
            <w:hideMark/>
          </w:tcPr>
          <w:p w14:paraId="20F41014"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Ključne riječi</w:t>
            </w:r>
          </w:p>
        </w:tc>
        <w:tc>
          <w:tcPr>
            <w:tcW w:w="6242" w:type="dxa"/>
          </w:tcPr>
          <w:p w14:paraId="4E199121" w14:textId="38C21263" w:rsidR="00927DC5" w:rsidRPr="005365AA" w:rsidRDefault="1F320486"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Mentalno-zdravstvena pismenost; sustavni pregled istraživanja; djeca; adolescenti; mentalno zdravlje; COSMIN</w:t>
            </w:r>
          </w:p>
        </w:tc>
      </w:tr>
      <w:tr w:rsidR="00927DC5" w:rsidRPr="005365AA" w14:paraId="262404AA" w14:textId="77777777" w:rsidTr="0752BA49">
        <w:trPr>
          <w:trHeight w:val="300"/>
        </w:trPr>
        <w:tc>
          <w:tcPr>
            <w:tcW w:w="2820" w:type="dxa"/>
            <w:hideMark/>
          </w:tcPr>
          <w:p w14:paraId="73F3E50F" w14:textId="77777777" w:rsidR="00927DC5" w:rsidRPr="00FD688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sz w:val="18"/>
                <w:szCs w:val="18"/>
                <w:lang w:eastAsia="hr-HR"/>
              </w:rPr>
              <w:t>Kratki opis</w:t>
            </w:r>
          </w:p>
        </w:tc>
        <w:tc>
          <w:tcPr>
            <w:tcW w:w="6242" w:type="dxa"/>
          </w:tcPr>
          <w:p w14:paraId="6EA7603D" w14:textId="634DFBBD" w:rsidR="00927DC5" w:rsidRPr="005365AA" w:rsidRDefault="20ADF28A" w:rsidP="0752BA49">
            <w:pPr>
              <w:spacing w:after="0" w:line="240" w:lineRule="auto"/>
              <w:textAlignment w:val="baseline"/>
              <w:rPr>
                <w:rFonts w:ascii="Calibri" w:eastAsia="Calibri" w:hAnsi="Calibri" w:cs="Calibri"/>
                <w:sz w:val="18"/>
                <w:szCs w:val="18"/>
              </w:rPr>
            </w:pPr>
            <w:r w:rsidRPr="0752BA49">
              <w:rPr>
                <w:rFonts w:ascii="Calibri" w:eastAsia="Calibri" w:hAnsi="Calibri" w:cs="Calibri"/>
                <w:sz w:val="18"/>
                <w:szCs w:val="18"/>
                <w:lang w:eastAsia="hr-HR"/>
              </w:rPr>
              <w:t>Mentaln</w:t>
            </w:r>
            <w:r w:rsidR="40F15AE4" w:rsidRPr="0752BA49">
              <w:rPr>
                <w:rFonts w:ascii="Calibri" w:eastAsia="Calibri" w:hAnsi="Calibri" w:cs="Calibri"/>
                <w:sz w:val="18"/>
                <w:szCs w:val="18"/>
                <w:lang w:eastAsia="hr-HR"/>
              </w:rPr>
              <w:t>o-</w:t>
            </w:r>
            <w:r w:rsidRPr="0752BA49">
              <w:rPr>
                <w:rFonts w:ascii="Calibri" w:eastAsia="Calibri" w:hAnsi="Calibri" w:cs="Calibri"/>
                <w:sz w:val="18"/>
                <w:szCs w:val="18"/>
                <w:lang w:eastAsia="hr-HR"/>
              </w:rPr>
              <w:t>zdravstvena pismenost ključan je konstrukt za odgovaranje na potrebe mentalnog zdravlja kod djece i adolescenata; međutim, obilježja postojećih mjernih instrumenata za procjenu MZP-a nisu sustavno procijenjena. Cilj je ovog sustavnog pregleda istraživanja procijeniti psihometrijska svojstva dostupnih mjera MZP-a u djece i adolescenata. Pritom se evaluiraju instrumenti koji ispituju MZP nespecifičnu za pojedine dijagnoze u općoj populaciji djece i adolescenata, kao i stupanj u kojem instrumenti obuhvaćaju četiri sastavnice mentalno-zdravstvene pismenosti (znanje o mentalnom zdravlju, bolesti, stigmi i traženju pomoći).</w:t>
            </w:r>
            <w:r w:rsidR="69231E0B">
              <w:br/>
            </w:r>
            <w:r w:rsidR="69231E0B">
              <w:br/>
            </w:r>
            <w:r w:rsidR="054CA118" w:rsidRPr="0752BA49">
              <w:rPr>
                <w:rFonts w:ascii="Calibri" w:eastAsia="Calibri" w:hAnsi="Calibri" w:cs="Calibri"/>
                <w:sz w:val="18"/>
                <w:szCs w:val="18"/>
              </w:rPr>
              <w:t>Rad nudi sveobuhvatnu analizu obilježja istraživanja u kojim  su instrumenti korišteni, kvalitetu metodologije</w:t>
            </w:r>
            <w:r w:rsidR="1DA96ADE" w:rsidRPr="0752BA49">
              <w:rPr>
                <w:rFonts w:ascii="Calibri" w:eastAsia="Calibri" w:hAnsi="Calibri" w:cs="Calibri"/>
                <w:sz w:val="18"/>
                <w:szCs w:val="18"/>
              </w:rPr>
              <w:t xml:space="preserve"> te</w:t>
            </w:r>
            <w:r w:rsidR="054CA118" w:rsidRPr="0752BA49">
              <w:rPr>
                <w:rFonts w:ascii="Calibri" w:eastAsia="Calibri" w:hAnsi="Calibri" w:cs="Calibri"/>
                <w:sz w:val="18"/>
                <w:szCs w:val="18"/>
              </w:rPr>
              <w:t xml:space="preserve"> kvalitetu metrijskih karakteristika 21 uključenog instrumenta</w:t>
            </w:r>
            <w:r w:rsidR="562CC859" w:rsidRPr="0752BA49">
              <w:rPr>
                <w:rFonts w:ascii="Calibri" w:eastAsia="Calibri" w:hAnsi="Calibri" w:cs="Calibri"/>
                <w:sz w:val="18"/>
                <w:szCs w:val="18"/>
              </w:rPr>
              <w:t>.</w:t>
            </w:r>
          </w:p>
        </w:tc>
      </w:tr>
      <w:tr w:rsidR="00927DC5" w:rsidRPr="005365AA" w14:paraId="516CF74D" w14:textId="77777777" w:rsidTr="0752BA49">
        <w:trPr>
          <w:trHeight w:val="300"/>
        </w:trPr>
        <w:tc>
          <w:tcPr>
            <w:tcW w:w="2820" w:type="dxa"/>
            <w:hideMark/>
          </w:tcPr>
          <w:p w14:paraId="4ED3B504"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Ključni nalazi</w:t>
            </w:r>
          </w:p>
          <w:p w14:paraId="2AD42A54"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eastAsia="hr-HR"/>
              </w:rPr>
              <w:t> </w:t>
            </w:r>
          </w:p>
        </w:tc>
        <w:tc>
          <w:tcPr>
            <w:tcW w:w="6242" w:type="dxa"/>
          </w:tcPr>
          <w:p w14:paraId="17FFE462" w14:textId="240ABC1F" w:rsidR="00927DC5" w:rsidRPr="005365AA" w:rsidRDefault="131DBCD2"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xml:space="preserve">- Mjere identificirane u ovom istraživanju ne procjenjuju mentalno-zdravstvenu pismenost na sveobuhvatan način, već najčešće obuhvaćaju jednu do tri od četiri komponente. Niti jedna studija nije istodobno bila psihometrijski valjana, prikladna za opću populaciju i obuhvaćala znanje o mentalnom zdravlju, mentalnim poremećajima, stigmi i traženju pomoći. </w:t>
            </w:r>
          </w:p>
          <w:p w14:paraId="565ABE8F" w14:textId="7063823F" w:rsidR="00927DC5" w:rsidRPr="005365AA" w:rsidRDefault="131DBCD2"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xml:space="preserve">- Većina istraživanja koja su ispitivala mentalno-zdravstvenu pismenost kod djece i adolescenata nije na zadovoljavajuć način izvijestila o informacijama vezanima uz uzorak, razvoj upitnika i naknadno pilot-istraživanje kako bi se mogla dokazati valjanost i pouzdanost mjernih instrumenata. </w:t>
            </w:r>
          </w:p>
          <w:p w14:paraId="4DF44DD6" w14:textId="6138A624" w:rsidR="00927DC5" w:rsidRPr="005365AA" w:rsidRDefault="131DBCD2"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Uočen je znatan stupanj varijabilnosti u formatima postojećih mjera, što sugerira ograničen konsenzus o najprimjerenijem načinu mjerenja mentalno-zdravstvene pismenosti. Iako je Likertova ljestvica najčešće korištena, pojedine studije primjenjivale su i druge formate (npr. pitanja točno/netočno ili višestruki izbor), što dodatno otežava usporedbu rezultata među studijama.</w:t>
            </w:r>
          </w:p>
          <w:p w14:paraId="75E36906" w14:textId="75DB457A" w:rsidR="00927DC5" w:rsidRPr="005365AA" w:rsidRDefault="131DBCD2"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xml:space="preserve">Riječ je o prvom sustavnom pregledu koji procjenjuje kvalitetu instrumenata za mjerenje mentalno-zdravstvene pismenosti namijenjenih djeci i adolescentima, uz istodobno identificiranje mjera koje obuhvaćaju sve četiri komponente te onih koje nisu dijagnostički specifične. </w:t>
            </w:r>
          </w:p>
          <w:p w14:paraId="2868A41F" w14:textId="24F607DF" w:rsidR="00927DC5" w:rsidRPr="005365AA" w:rsidRDefault="480A615E"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Prema nalazima ove studije, identificirano je vrlo malo ili niti jedan instrument koji se može odmah koristiti za procjenu mentalne zdravstvene pismenosti kod mladih u univerzalnom okruženju. Uzimajući u obzir duljinu postojećih instrumenata i potrebu za kombiniranjem više dimenzija kako bi se mentaln</w:t>
            </w:r>
            <w:r w:rsidR="771DE3A2" w:rsidRPr="0752BA49">
              <w:rPr>
                <w:rFonts w:ascii="Calibri" w:eastAsia="Calibri" w:hAnsi="Calibri" w:cs="Calibri"/>
                <w:sz w:val="18"/>
                <w:szCs w:val="18"/>
                <w:lang w:eastAsia="hr-HR"/>
              </w:rPr>
              <w:t>o-</w:t>
            </w:r>
            <w:r w:rsidRPr="0752BA49">
              <w:rPr>
                <w:rFonts w:ascii="Calibri" w:eastAsia="Calibri" w:hAnsi="Calibri" w:cs="Calibri"/>
                <w:sz w:val="18"/>
                <w:szCs w:val="18"/>
                <w:lang w:eastAsia="hr-HR"/>
              </w:rPr>
              <w:t>zdravstvena pismenost adekvatno procijenila, postoji opravdanje za budući razvoj kratkih instrumenata prilagođenih razvojnoj razini djece i adolescenata.</w:t>
            </w:r>
          </w:p>
        </w:tc>
      </w:tr>
      <w:tr w:rsidR="00927DC5" w:rsidRPr="005365AA" w14:paraId="42383F07" w14:textId="77777777" w:rsidTr="0752BA49">
        <w:trPr>
          <w:trHeight w:val="300"/>
        </w:trPr>
        <w:tc>
          <w:tcPr>
            <w:tcW w:w="2820" w:type="dxa"/>
            <w:hideMark/>
          </w:tcPr>
          <w:p w14:paraId="5C582E18"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Kako može koristiti na MentiFit projektu?</w:t>
            </w:r>
            <w:r w:rsidRPr="0752BA49">
              <w:rPr>
                <w:rFonts w:ascii="Calibri" w:eastAsia="Calibri" w:hAnsi="Calibri" w:cs="Calibri"/>
                <w:b/>
                <w:bCs/>
                <w:color w:val="000000" w:themeColor="text1"/>
                <w:sz w:val="18"/>
                <w:szCs w:val="18"/>
                <w:lang w:eastAsia="hr-HR"/>
              </w:rPr>
              <w:t> </w:t>
            </w:r>
          </w:p>
          <w:p w14:paraId="3DED48DA"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eastAsia="hr-HR"/>
              </w:rPr>
              <w:t> </w:t>
            </w:r>
          </w:p>
        </w:tc>
        <w:tc>
          <w:tcPr>
            <w:tcW w:w="6242" w:type="dxa"/>
          </w:tcPr>
          <w:p w14:paraId="5310AFE1" w14:textId="511F637F" w:rsidR="00927DC5" w:rsidRPr="005365AA" w:rsidRDefault="56355215" w:rsidP="0752BA49">
            <w:pPr>
              <w:spacing w:after="0" w:line="240" w:lineRule="auto"/>
              <w:textAlignment w:val="baseline"/>
              <w:rPr>
                <w:rFonts w:ascii="Calibri" w:eastAsia="Calibri" w:hAnsi="Calibri" w:cs="Calibri"/>
                <w:sz w:val="18"/>
                <w:szCs w:val="18"/>
                <w:lang w:eastAsia="hr-HR"/>
              </w:rPr>
            </w:pPr>
            <w:r w:rsidRPr="0752BA49">
              <w:rPr>
                <w:rFonts w:ascii="Calibri" w:eastAsia="Calibri" w:hAnsi="Calibri" w:cs="Calibri"/>
                <w:sz w:val="18"/>
                <w:szCs w:val="18"/>
                <w:lang w:eastAsia="hr-HR"/>
              </w:rPr>
              <w:t xml:space="preserve">Ovo istraživanje naglašava potrebu za prilagodbom postojećih mjera MZP-a ili </w:t>
            </w:r>
            <w:r w:rsidRPr="0752BA49">
              <w:rPr>
                <w:rFonts w:ascii="Calibri" w:eastAsia="Calibri" w:hAnsi="Calibri" w:cs="Calibri"/>
                <w:b/>
                <w:bCs/>
                <w:sz w:val="18"/>
                <w:szCs w:val="18"/>
                <w:lang w:eastAsia="hr-HR"/>
              </w:rPr>
              <w:t>razvojem novih</w:t>
            </w:r>
            <w:r w:rsidRPr="0752BA49">
              <w:rPr>
                <w:rFonts w:ascii="Calibri" w:eastAsia="Calibri" w:hAnsi="Calibri" w:cs="Calibri"/>
                <w:sz w:val="18"/>
                <w:szCs w:val="18"/>
                <w:lang w:eastAsia="hr-HR"/>
              </w:rPr>
              <w:t xml:space="preserve"> koje bi bile prikladne za primjenu u populaciji mlađe djece i adolescenata kako bi se intervencije s ciljem razvoja MZP-a mogle kvalitetnije evaluirati.</w:t>
            </w:r>
          </w:p>
        </w:tc>
      </w:tr>
      <w:tr w:rsidR="00927DC5" w:rsidRPr="005365AA" w14:paraId="20102A12" w14:textId="77777777" w:rsidTr="0752BA49">
        <w:trPr>
          <w:trHeight w:val="300"/>
        </w:trPr>
        <w:tc>
          <w:tcPr>
            <w:tcW w:w="2820" w:type="dxa"/>
            <w:hideMark/>
          </w:tcPr>
          <w:p w14:paraId="02D6C5CA" w14:textId="77777777" w:rsidR="00927DC5" w:rsidRPr="005365AA" w:rsidRDefault="07CF38BD" w:rsidP="0752BA49">
            <w:pPr>
              <w:spacing w:after="0" w:line="240" w:lineRule="auto"/>
              <w:textAlignment w:val="baseline"/>
              <w:rPr>
                <w:rFonts w:ascii="Calibri" w:eastAsia="Calibri" w:hAnsi="Calibri" w:cs="Calibri"/>
                <w:b/>
                <w:bCs/>
                <w:sz w:val="18"/>
                <w:szCs w:val="18"/>
                <w:lang w:eastAsia="hr-HR"/>
              </w:rPr>
            </w:pPr>
            <w:r w:rsidRPr="0752BA49">
              <w:rPr>
                <w:rFonts w:ascii="Calibri" w:eastAsia="Calibri" w:hAnsi="Calibri" w:cs="Calibri"/>
                <w:b/>
                <w:bCs/>
                <w:color w:val="000000" w:themeColor="text1"/>
                <w:sz w:val="18"/>
                <w:szCs w:val="18"/>
                <w:lang w:val="en-GB" w:eastAsia="hr-HR"/>
              </w:rPr>
              <w:t>Komentar, pitanje… </w:t>
            </w:r>
            <w:r w:rsidRPr="0752BA49">
              <w:rPr>
                <w:rFonts w:ascii="Calibri" w:eastAsia="Calibri" w:hAnsi="Calibri" w:cs="Calibri"/>
                <w:b/>
                <w:bCs/>
                <w:color w:val="000000" w:themeColor="text1"/>
                <w:sz w:val="18"/>
                <w:szCs w:val="18"/>
                <w:lang w:eastAsia="hr-HR"/>
              </w:rPr>
              <w:t> </w:t>
            </w:r>
          </w:p>
        </w:tc>
        <w:tc>
          <w:tcPr>
            <w:tcW w:w="6242" w:type="dxa"/>
          </w:tcPr>
          <w:p w14:paraId="046E8C7C" w14:textId="77777777" w:rsidR="00927DC5" w:rsidRPr="005365AA" w:rsidRDefault="00927DC5" w:rsidP="0752BA49">
            <w:pPr>
              <w:spacing w:after="0" w:line="240" w:lineRule="auto"/>
              <w:textAlignment w:val="baseline"/>
              <w:rPr>
                <w:rFonts w:ascii="Calibri" w:eastAsia="Calibri" w:hAnsi="Calibri" w:cs="Calibri"/>
                <w:sz w:val="18"/>
                <w:szCs w:val="18"/>
                <w:lang w:eastAsia="hr-HR"/>
              </w:rPr>
            </w:pPr>
          </w:p>
        </w:tc>
      </w:tr>
    </w:tbl>
    <w:p w14:paraId="2F3EE051" w14:textId="1A305C68" w:rsidR="00927DC5" w:rsidRDefault="00927DC5" w:rsidP="005365AA"/>
    <w:p w14:paraId="01E4AFAC" w14:textId="036A756D" w:rsidR="0752BA49" w:rsidRDefault="0752BA49"/>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9"/>
        <w:gridCol w:w="6563"/>
      </w:tblGrid>
      <w:tr w:rsidR="00927DC5" w:rsidRPr="005365AA" w14:paraId="559BB289" w14:textId="77777777" w:rsidTr="0752BA49">
        <w:trPr>
          <w:trHeight w:val="300"/>
        </w:trPr>
        <w:tc>
          <w:tcPr>
            <w:tcW w:w="3315" w:type="dxa"/>
            <w:hideMark/>
          </w:tcPr>
          <w:p w14:paraId="103B3986" w14:textId="1683050F" w:rsidR="00927DC5"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07CF38BD" w:rsidRPr="0752BA49">
              <w:rPr>
                <w:rFonts w:eastAsiaTheme="minorEastAsia"/>
                <w:b/>
                <w:bCs/>
                <w:color w:val="000000" w:themeColor="text1"/>
                <w:sz w:val="18"/>
                <w:szCs w:val="18"/>
                <w:lang w:eastAsia="hr-HR"/>
              </w:rPr>
              <w:t> </w:t>
            </w:r>
          </w:p>
        </w:tc>
        <w:tc>
          <w:tcPr>
            <w:tcW w:w="9630" w:type="dxa"/>
          </w:tcPr>
          <w:p w14:paraId="4B1A938F" w14:textId="01650E47" w:rsidR="00927DC5" w:rsidRPr="005365AA" w:rsidRDefault="5B5338CE" w:rsidP="0752BA49">
            <w:pPr>
              <w:spacing w:after="0" w:line="240" w:lineRule="auto"/>
              <w:textAlignment w:val="baseline"/>
              <w:rPr>
                <w:rFonts w:eastAsiaTheme="minorEastAsia"/>
                <w:sz w:val="18"/>
                <w:szCs w:val="18"/>
                <w:lang w:val="en-US"/>
              </w:rPr>
            </w:pPr>
            <w:r w:rsidRPr="0752BA49">
              <w:rPr>
                <w:rFonts w:eastAsiaTheme="minorEastAsia"/>
                <w:color w:val="212121"/>
                <w:sz w:val="18"/>
                <w:szCs w:val="18"/>
                <w:lang w:val="en-US"/>
              </w:rPr>
              <w:t xml:space="preserve">Davey, R. J., Campbell, A., Beynon, A., Rasmussen, C. L., Hendry, D., Stearne, S., Harris, C., Straker, L., &amp; Zabatiero, J. (2025). Parental Perspectives on the Use of Smartwatch Activity Trackers by Young Children: Qualitative Study. </w:t>
            </w:r>
            <w:r w:rsidRPr="0752BA49">
              <w:rPr>
                <w:rFonts w:eastAsiaTheme="minorEastAsia"/>
                <w:i/>
                <w:iCs/>
                <w:color w:val="212121"/>
                <w:sz w:val="18"/>
                <w:szCs w:val="18"/>
                <w:lang w:val="en-US"/>
              </w:rPr>
              <w:t>JMIR pediatrics and parenting</w:t>
            </w:r>
            <w:r w:rsidRPr="0752BA49">
              <w:rPr>
                <w:rFonts w:eastAsiaTheme="minorEastAsia"/>
                <w:color w:val="212121"/>
                <w:sz w:val="18"/>
                <w:szCs w:val="18"/>
                <w:lang w:val="en-US"/>
              </w:rPr>
              <w:t xml:space="preserve">, </w:t>
            </w:r>
            <w:r w:rsidRPr="0752BA49">
              <w:rPr>
                <w:rFonts w:eastAsiaTheme="minorEastAsia"/>
                <w:i/>
                <w:iCs/>
                <w:color w:val="212121"/>
                <w:sz w:val="18"/>
                <w:szCs w:val="18"/>
                <w:lang w:val="en-US"/>
              </w:rPr>
              <w:t>8</w:t>
            </w:r>
            <w:r w:rsidRPr="0752BA49">
              <w:rPr>
                <w:rFonts w:eastAsiaTheme="minorEastAsia"/>
                <w:color w:val="212121"/>
                <w:sz w:val="18"/>
                <w:szCs w:val="18"/>
                <w:lang w:val="en-US"/>
              </w:rPr>
              <w:t>, e79851. https://doi.org/10.2196/79851</w:t>
            </w:r>
          </w:p>
        </w:tc>
      </w:tr>
      <w:tr w:rsidR="00927DC5" w:rsidRPr="005365AA" w14:paraId="502B1FAF" w14:textId="77777777" w:rsidTr="0752BA49">
        <w:trPr>
          <w:trHeight w:val="300"/>
        </w:trPr>
        <w:tc>
          <w:tcPr>
            <w:tcW w:w="3315" w:type="dxa"/>
            <w:hideMark/>
          </w:tcPr>
          <w:p w14:paraId="511D0696"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61929A02" w14:textId="325DAA9D" w:rsidR="00927DC5" w:rsidRPr="00445196" w:rsidRDefault="1BC789E3"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https://pediatrics.jmir.org/2025/1/e79851</w:t>
            </w:r>
          </w:p>
        </w:tc>
      </w:tr>
      <w:tr w:rsidR="00927DC5" w:rsidRPr="005365AA" w14:paraId="570AC1B2" w14:textId="77777777" w:rsidTr="0752BA49">
        <w:trPr>
          <w:trHeight w:val="300"/>
        </w:trPr>
        <w:tc>
          <w:tcPr>
            <w:tcW w:w="3315" w:type="dxa"/>
            <w:hideMark/>
          </w:tcPr>
          <w:p w14:paraId="216B5810"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2E1E2F56" w14:textId="051186F0" w:rsidR="00927DC5" w:rsidRPr="005365AA" w:rsidRDefault="1BC789E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Mjerenje tjelesne aktivnosti</w:t>
            </w:r>
          </w:p>
        </w:tc>
      </w:tr>
      <w:tr w:rsidR="00927DC5" w:rsidRPr="005365AA" w14:paraId="00068D15" w14:textId="77777777" w:rsidTr="0752BA49">
        <w:trPr>
          <w:trHeight w:val="300"/>
        </w:trPr>
        <w:tc>
          <w:tcPr>
            <w:tcW w:w="3315" w:type="dxa"/>
          </w:tcPr>
          <w:p w14:paraId="52B5A021" w14:textId="77777777" w:rsidR="00927DC5" w:rsidRPr="005365AA" w:rsidRDefault="07CF38BD"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1CCD035B" w14:textId="21E00D63" w:rsidR="00927DC5" w:rsidRPr="005365AA" w:rsidRDefault="1BC789E3"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Jelena Gerjević</w:t>
            </w:r>
          </w:p>
        </w:tc>
      </w:tr>
      <w:tr w:rsidR="00927DC5" w:rsidRPr="005365AA" w14:paraId="420359FB" w14:textId="77777777" w:rsidTr="0752BA49">
        <w:trPr>
          <w:trHeight w:val="300"/>
        </w:trPr>
        <w:tc>
          <w:tcPr>
            <w:tcW w:w="3315" w:type="dxa"/>
            <w:hideMark/>
          </w:tcPr>
          <w:p w14:paraId="165F1C00"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59C1D669"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C4B5A4B"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71D3E94D"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69AA2B20" w14:textId="77777777" w:rsidR="00927DC5" w:rsidRPr="005365AA" w:rsidRDefault="07CF38BD"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40456A14" w14:textId="14B957DE" w:rsidR="00927DC5" w:rsidRPr="005365AA" w:rsidRDefault="1BC789E3"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4</w:t>
            </w:r>
          </w:p>
        </w:tc>
      </w:tr>
      <w:tr w:rsidR="00927DC5" w:rsidRPr="005365AA" w14:paraId="742CEE34" w14:textId="77777777" w:rsidTr="0752BA49">
        <w:trPr>
          <w:trHeight w:val="300"/>
        </w:trPr>
        <w:tc>
          <w:tcPr>
            <w:tcW w:w="3315" w:type="dxa"/>
            <w:hideMark/>
          </w:tcPr>
          <w:p w14:paraId="159FCE6C"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2EBECFB7"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0DF89270" w14:textId="77777777" w:rsidR="00AC568D" w:rsidRDefault="05398178"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Background</w:t>
            </w:r>
            <w:r w:rsidRPr="0752BA49">
              <w:rPr>
                <w:rFonts w:eastAsiaTheme="minorEastAsia"/>
                <w:sz w:val="18"/>
                <w:szCs w:val="18"/>
                <w:lang w:eastAsia="hr-HR"/>
              </w:rPr>
              <w:t xml:space="preserve">: Smartwatch activity trackers are devices that measure physical activity levels with features that aim to encourage physically active behaviors. These devices have shown promise for increasing physical activity levels and reducing sedentary behaviors among school-aged children, adolescents, and adults. Recently, commercially available products have been adapted so that they are suitable for use by preschool-aged children. However, it is unclear whether the intended use of these devices is feasible and effective in young children. </w:t>
            </w:r>
            <w:r w:rsidRPr="0752BA49">
              <w:rPr>
                <w:rFonts w:eastAsiaTheme="minorEastAsia"/>
                <w:b/>
                <w:bCs/>
                <w:sz w:val="18"/>
                <w:szCs w:val="18"/>
                <w:lang w:eastAsia="hr-HR"/>
              </w:rPr>
              <w:t>Objective</w:t>
            </w:r>
            <w:r w:rsidRPr="0752BA49">
              <w:rPr>
                <w:rFonts w:eastAsiaTheme="minorEastAsia"/>
                <w:sz w:val="18"/>
                <w:szCs w:val="18"/>
                <w:lang w:eastAsia="hr-HR"/>
              </w:rPr>
              <w:t xml:space="preserve">: The purpose of this study was to explore parents’ perspectives on the use of smartwatch activity trackers by young children. </w:t>
            </w:r>
          </w:p>
          <w:p w14:paraId="3D9BFCA6" w14:textId="77777777" w:rsidR="00AC568D" w:rsidRDefault="05398178"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Methods:</w:t>
            </w:r>
            <w:r w:rsidRPr="0752BA49">
              <w:rPr>
                <w:rFonts w:eastAsiaTheme="minorEastAsia"/>
                <w:sz w:val="18"/>
                <w:szCs w:val="18"/>
                <w:lang w:eastAsia="hr-HR"/>
              </w:rPr>
              <w:t xml:space="preserve"> Semistructured interviews were conducted with 22 parents (17/22, 77% female) of children aged 3-5 years. Interviews explored perspectives on the feasibility of their children wearing the devices, implications of use by young children, and how families could make use of these devices to support their children’s physically active behaviors. Interviews were audio-recorded, transcribed verbatim, and data analyzed using thematic analysis. </w:t>
            </w:r>
          </w:p>
          <w:p w14:paraId="1C35BEA5" w14:textId="77777777" w:rsidR="00AC568D" w:rsidRDefault="05398178"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Results</w:t>
            </w:r>
            <w:r w:rsidRPr="0752BA49">
              <w:rPr>
                <w:rFonts w:eastAsiaTheme="minorEastAsia"/>
                <w:sz w:val="18"/>
                <w:szCs w:val="18"/>
                <w:lang w:eastAsia="hr-HR"/>
              </w:rPr>
              <w:t xml:space="preserve">: Parents perceived that the use of these devices by young children is feasible, with developmental stage or abilities and personality or temperament being important individual determinants of feasibility. However, parents expressed concerns related to the devices providing extrinsic motivation to move, being disruptive or distracting, being a burden on parents, and for the safety and privacy of their child’s information. Most parents believed that young children are inherently active and do not need devices to support physical activity. Furthermore, most parents expressed an interest in knowing how physically active their children were and thought that there may be a role for these devices for children who are less physically active. </w:t>
            </w:r>
          </w:p>
          <w:p w14:paraId="69336815" w14:textId="24383AD5" w:rsidR="00927DC5" w:rsidRPr="005365AA" w:rsidRDefault="05398178" w:rsidP="0752BA49">
            <w:pPr>
              <w:spacing w:after="0" w:line="240" w:lineRule="auto"/>
              <w:textAlignment w:val="baseline"/>
              <w:rPr>
                <w:rFonts w:eastAsiaTheme="minorEastAsia"/>
                <w:sz w:val="18"/>
                <w:szCs w:val="18"/>
                <w:lang w:eastAsia="hr-HR"/>
              </w:rPr>
            </w:pPr>
            <w:r w:rsidRPr="0752BA49">
              <w:rPr>
                <w:rFonts w:eastAsiaTheme="minorEastAsia"/>
                <w:b/>
                <w:bCs/>
                <w:sz w:val="18"/>
                <w:szCs w:val="18"/>
                <w:lang w:eastAsia="hr-HR"/>
              </w:rPr>
              <w:t>Conclusions</w:t>
            </w:r>
            <w:r w:rsidRPr="0752BA49">
              <w:rPr>
                <w:rFonts w:eastAsiaTheme="minorEastAsia"/>
                <w:sz w:val="18"/>
                <w:szCs w:val="18"/>
                <w:lang w:eastAsia="hr-HR"/>
              </w:rPr>
              <w:t>: Parents reported developmental stage or abilities and temperament as relevant considerations related to the feasibility of smartwatch activity tracker use by young children. Parents also indicated that there is a potential role for these devices in young, less active children.</w:t>
            </w:r>
          </w:p>
        </w:tc>
      </w:tr>
      <w:tr w:rsidR="00927DC5" w:rsidRPr="005365AA" w14:paraId="47EBB9B8" w14:textId="77777777" w:rsidTr="0752BA49">
        <w:trPr>
          <w:trHeight w:val="300"/>
        </w:trPr>
        <w:tc>
          <w:tcPr>
            <w:tcW w:w="3315" w:type="dxa"/>
            <w:hideMark/>
          </w:tcPr>
          <w:p w14:paraId="7ABB3567"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7AFC9BA3" w14:textId="4FA08F35" w:rsidR="00927DC5" w:rsidRPr="005365AA" w:rsidRDefault="055F402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wearable activity tracker; smartwatch; preschool children; physical activity; qualitative research</w:t>
            </w:r>
          </w:p>
        </w:tc>
      </w:tr>
      <w:tr w:rsidR="00927DC5" w:rsidRPr="005365AA" w14:paraId="30B7A448" w14:textId="77777777" w:rsidTr="0752BA49">
        <w:trPr>
          <w:trHeight w:val="300"/>
        </w:trPr>
        <w:tc>
          <w:tcPr>
            <w:tcW w:w="3315" w:type="dxa"/>
            <w:hideMark/>
          </w:tcPr>
          <w:p w14:paraId="3940AB46" w14:textId="77777777" w:rsidR="00927DC5" w:rsidRPr="00FD688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00F777B2" w14:textId="1BED350B" w:rsidR="00927DC5" w:rsidRPr="00FD3B07" w:rsidRDefault="055F402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Kvalitativna studija istražuje stavove roditelja djece od 3 do 5 godina o korištenju pametnih satova za praćenje tjelesne aktivnosti, s fokusom na izvedivost, rizike i potencijalne uloge ovih uređaja u ranom djetinjstvu.</w:t>
            </w:r>
          </w:p>
        </w:tc>
      </w:tr>
      <w:tr w:rsidR="00927DC5" w:rsidRPr="005365AA" w14:paraId="64049452" w14:textId="77777777" w:rsidTr="0752BA49">
        <w:trPr>
          <w:trHeight w:val="300"/>
        </w:trPr>
        <w:tc>
          <w:tcPr>
            <w:tcW w:w="3315" w:type="dxa"/>
            <w:hideMark/>
          </w:tcPr>
          <w:p w14:paraId="102635FA"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24F1724E"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DBAD830" w14:textId="2B44AB60" w:rsidR="00927DC5" w:rsidRPr="005365AA" w:rsidRDefault="26DFED1E"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Rezultati istraživanja pokazuju da roditelji uglavnom smatraju kako je korištenje pametnih satova kod djece predškolske dobi tehnički izvedivo, no njegova uspješnost uvelike ovisi o dobi, razvojnim sposobnostima i temperamentu djeteta. Roditelji ističu da su starija djeca i ona koja su više usmjerena na ciljeve ili nagrade sklonija prihvaćanju ovakvih uređaja, dok mlađa djeca često ne razumiju njihovu svrhu. Istodobno se izražavaju značajne zabrinutosti vezane uz potencijalno potiskivanje intrinzične motivacije za kretanje, ometanje slobodne i kreativne igre te dodatno opterećenje roditelja u interpretaciji podataka i osjećaju odgovornosti ako se ciljevi ne ostvaruju. Većina roditelja smatra da su mala djeca prirodno aktivna i da im pametni satovi nisu nužno potrebni za poticanje tjelesne aktivnosti. Ipak, prepoznaje se vrijednost ovih uređaja u povećanju svijesti roditelja o stvarnim obrascima dječje aktivnosti te u posebnim okolnostima, primjerice kod djece koja su manje aktivna ili imaju ograničene mogućnosti za kretanje.</w:t>
            </w:r>
          </w:p>
        </w:tc>
      </w:tr>
      <w:tr w:rsidR="00927DC5" w:rsidRPr="005365AA" w14:paraId="72CA9935" w14:textId="77777777" w:rsidTr="0752BA49">
        <w:trPr>
          <w:trHeight w:val="300"/>
        </w:trPr>
        <w:tc>
          <w:tcPr>
            <w:tcW w:w="3315" w:type="dxa"/>
            <w:hideMark/>
          </w:tcPr>
          <w:p w14:paraId="1EBAFF15"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06D894AF"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3DCCBF10" w14:textId="29CBA4F1" w:rsidR="00927DC5" w:rsidRPr="005365AA" w:rsidRDefault="1C640E1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Istraživanje naglašava potrebu za razvoju razvojno osjetljivih i etički promišljenih digitalnih rješenja za djecu. Nalazi upućuju na to da tehnologija ne bi trebala biti usmjerena na nametanje ciljeva i nagrada djeci, već na podršku roditeljima kroz informiranje i poticanje pozitivnih obiteljskih razgovora o kretanju i zdravlju. Studija dodatno sugerira da digitalni alati imaju najveći potencijal kada su dio šireg, integriranog pristupa promicanju zdravih navika, a ne samostalna intervencija. Za </w:t>
            </w:r>
            <w:r w:rsidR="7355D122" w:rsidRPr="0752BA49">
              <w:rPr>
                <w:rFonts w:eastAsiaTheme="minorEastAsia"/>
                <w:sz w:val="18"/>
                <w:szCs w:val="18"/>
                <w:lang w:eastAsia="hr-HR"/>
              </w:rPr>
              <w:t>ovaj projekt</w:t>
            </w:r>
            <w:r w:rsidRPr="0752BA49">
              <w:rPr>
                <w:rFonts w:eastAsiaTheme="minorEastAsia"/>
                <w:sz w:val="18"/>
                <w:szCs w:val="18"/>
                <w:lang w:eastAsia="hr-HR"/>
              </w:rPr>
              <w:t>, to znači fokus na poticanje intrinzične motivacije, igre i tjelesne pismenosti, uz pažljivo dizajniran sustav povratnih informacija koji izbjegava pritisak, usporedbe i osjećaj neuspjeha kod djece i roditelja.</w:t>
            </w:r>
          </w:p>
        </w:tc>
      </w:tr>
      <w:tr w:rsidR="00927DC5" w:rsidRPr="005365AA" w14:paraId="274A6751" w14:textId="77777777" w:rsidTr="0752BA49">
        <w:trPr>
          <w:trHeight w:val="300"/>
        </w:trPr>
        <w:tc>
          <w:tcPr>
            <w:tcW w:w="3315" w:type="dxa"/>
            <w:hideMark/>
          </w:tcPr>
          <w:p w14:paraId="616482A2" w14:textId="77777777" w:rsidR="00927DC5" w:rsidRPr="005365AA" w:rsidRDefault="07CF38BD"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67F46EC5" w14:textId="77777777" w:rsidR="00927DC5" w:rsidRPr="005365AA" w:rsidRDefault="00927DC5" w:rsidP="0752BA49">
            <w:pPr>
              <w:spacing w:after="0" w:line="240" w:lineRule="auto"/>
              <w:textAlignment w:val="baseline"/>
              <w:rPr>
                <w:rFonts w:eastAsiaTheme="minorEastAsia"/>
                <w:sz w:val="18"/>
                <w:szCs w:val="18"/>
                <w:lang w:eastAsia="hr-HR"/>
              </w:rPr>
            </w:pPr>
          </w:p>
        </w:tc>
      </w:tr>
    </w:tbl>
    <w:p w14:paraId="75714AC3" w14:textId="53229D33" w:rsidR="00000951" w:rsidRDefault="00000951"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6"/>
        <w:gridCol w:w="6526"/>
      </w:tblGrid>
      <w:tr w:rsidR="0077472D" w:rsidRPr="005365AA" w14:paraId="18874FD1" w14:textId="77777777" w:rsidTr="0752BA49">
        <w:trPr>
          <w:trHeight w:val="300"/>
        </w:trPr>
        <w:tc>
          <w:tcPr>
            <w:tcW w:w="3315" w:type="dxa"/>
            <w:hideMark/>
          </w:tcPr>
          <w:p w14:paraId="67BD30D6" w14:textId="3AE3E7BC" w:rsidR="0077472D"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59ADF41F" w:rsidRPr="0752BA49">
              <w:rPr>
                <w:rFonts w:eastAsiaTheme="minorEastAsia"/>
                <w:b/>
                <w:bCs/>
                <w:color w:val="000000" w:themeColor="text1"/>
                <w:sz w:val="18"/>
                <w:szCs w:val="18"/>
                <w:lang w:eastAsia="hr-HR"/>
              </w:rPr>
              <w:t> </w:t>
            </w:r>
          </w:p>
        </w:tc>
        <w:tc>
          <w:tcPr>
            <w:tcW w:w="9630" w:type="dxa"/>
          </w:tcPr>
          <w:p w14:paraId="60077102" w14:textId="648CD73F" w:rsidR="0077472D" w:rsidRPr="005365AA" w:rsidRDefault="68C85FC4" w:rsidP="0752BA49">
            <w:pPr>
              <w:spacing w:after="0" w:line="240" w:lineRule="auto"/>
              <w:textAlignment w:val="baseline"/>
              <w:rPr>
                <w:rFonts w:eastAsiaTheme="minorEastAsia"/>
                <w:sz w:val="18"/>
                <w:szCs w:val="18"/>
                <w:lang w:val="en-US"/>
              </w:rPr>
            </w:pPr>
            <w:r w:rsidRPr="0752BA49">
              <w:rPr>
                <w:rFonts w:eastAsiaTheme="minorEastAsia"/>
                <w:color w:val="222222"/>
                <w:sz w:val="18"/>
                <w:szCs w:val="18"/>
                <w:lang w:val="en-US"/>
              </w:rPr>
              <w:t xml:space="preserve">Danković, G., Stantić, T., Herodek, R., Stamenković, S., Stojiljković, N., Jelenković, B., &amp; Sporiš, G. (2023). Effects of Commercially Available Wearable Devices on Physical Activity Promotion and Health in Children and Adolescents: Systematic Review. </w:t>
            </w:r>
            <w:r w:rsidRPr="0752BA49">
              <w:rPr>
                <w:rFonts w:eastAsiaTheme="minorEastAsia"/>
                <w:i/>
                <w:iCs/>
                <w:color w:val="222222"/>
                <w:sz w:val="18"/>
                <w:szCs w:val="18"/>
                <w:lang w:val="en-US"/>
              </w:rPr>
              <w:t>Applied Sciences</w:t>
            </w:r>
            <w:r w:rsidRPr="0752BA49">
              <w:rPr>
                <w:rFonts w:eastAsiaTheme="minorEastAsia"/>
                <w:color w:val="222222"/>
                <w:sz w:val="18"/>
                <w:szCs w:val="18"/>
                <w:lang w:val="en-US"/>
              </w:rPr>
              <w:t xml:space="preserve">, </w:t>
            </w:r>
            <w:r w:rsidRPr="0752BA49">
              <w:rPr>
                <w:rFonts w:eastAsiaTheme="minorEastAsia"/>
                <w:i/>
                <w:iCs/>
                <w:color w:val="222222"/>
                <w:sz w:val="18"/>
                <w:szCs w:val="18"/>
                <w:lang w:val="en-US"/>
              </w:rPr>
              <w:t>13</w:t>
            </w:r>
            <w:r w:rsidRPr="0752BA49">
              <w:rPr>
                <w:rFonts w:eastAsiaTheme="minorEastAsia"/>
                <w:color w:val="222222"/>
                <w:sz w:val="18"/>
                <w:szCs w:val="18"/>
                <w:lang w:val="en-US"/>
              </w:rPr>
              <w:t>(12), 7194. https://doi.org/10.3390/app13127194</w:t>
            </w:r>
          </w:p>
        </w:tc>
      </w:tr>
      <w:tr w:rsidR="0077472D" w:rsidRPr="005365AA" w14:paraId="18FFA1E1" w14:textId="77777777" w:rsidTr="0752BA49">
        <w:trPr>
          <w:trHeight w:val="300"/>
        </w:trPr>
        <w:tc>
          <w:tcPr>
            <w:tcW w:w="3315" w:type="dxa"/>
            <w:hideMark/>
          </w:tcPr>
          <w:p w14:paraId="1A0DC298"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1CEF0781" w14:textId="24EA5D27" w:rsidR="0077472D" w:rsidRPr="005365AA" w:rsidRDefault="3208A2A9"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https://www.mdpi.com/2076-3417/13/12/7194</w:t>
            </w:r>
          </w:p>
        </w:tc>
      </w:tr>
      <w:tr w:rsidR="0077472D" w:rsidRPr="005365AA" w14:paraId="02D0DBA4" w14:textId="77777777" w:rsidTr="0752BA49">
        <w:trPr>
          <w:trHeight w:val="300"/>
        </w:trPr>
        <w:tc>
          <w:tcPr>
            <w:tcW w:w="3315" w:type="dxa"/>
            <w:hideMark/>
          </w:tcPr>
          <w:p w14:paraId="21F1E931"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588BB5F8" w14:textId="0FE9972D" w:rsidR="0077472D" w:rsidRPr="005365AA" w:rsidRDefault="4753D53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Mjerenje tjelesne aktivnosti</w:t>
            </w:r>
          </w:p>
        </w:tc>
      </w:tr>
      <w:tr w:rsidR="0077472D" w:rsidRPr="005365AA" w14:paraId="6A6BD0B5" w14:textId="77777777" w:rsidTr="0752BA49">
        <w:trPr>
          <w:trHeight w:val="300"/>
        </w:trPr>
        <w:tc>
          <w:tcPr>
            <w:tcW w:w="3315" w:type="dxa"/>
          </w:tcPr>
          <w:p w14:paraId="2186CF50" w14:textId="77777777" w:rsidR="0077472D" w:rsidRPr="005365AA" w:rsidRDefault="59ADF41F"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4BCBF466" w14:textId="04CEC7AD" w:rsidR="0077472D" w:rsidRPr="005365AA" w:rsidRDefault="4753D53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Jelena Gerjević</w:t>
            </w:r>
          </w:p>
        </w:tc>
      </w:tr>
      <w:tr w:rsidR="0077472D" w:rsidRPr="005365AA" w14:paraId="3C3A79E6" w14:textId="77777777" w:rsidTr="0752BA49">
        <w:trPr>
          <w:trHeight w:val="300"/>
        </w:trPr>
        <w:tc>
          <w:tcPr>
            <w:tcW w:w="3315" w:type="dxa"/>
            <w:hideMark/>
          </w:tcPr>
          <w:p w14:paraId="45329FEC"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422DF75A"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87710A2"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0AC607FF"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6A2D7FE6"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6E909895" w14:textId="3C797075" w:rsidR="0077472D" w:rsidRPr="005365AA" w:rsidRDefault="2EE8148B" w:rsidP="0752BA49">
            <w:pPr>
              <w:spacing w:after="0" w:line="240" w:lineRule="exact"/>
              <w:textAlignment w:val="baseline"/>
              <w:rPr>
                <w:rFonts w:eastAsiaTheme="minorEastAsia"/>
                <w:b/>
                <w:bCs/>
                <w:color w:val="4472C4"/>
                <w:sz w:val="18"/>
                <w:szCs w:val="18"/>
                <w:lang w:eastAsia="hr-HR"/>
              </w:rPr>
            </w:pPr>
            <w:r w:rsidRPr="0752BA49">
              <w:rPr>
                <w:rFonts w:eastAsiaTheme="minorEastAsia"/>
                <w:b/>
                <w:bCs/>
                <w:color w:val="4472C4" w:themeColor="accent1"/>
                <w:sz w:val="18"/>
                <w:szCs w:val="18"/>
                <w:lang w:eastAsia="hr-HR"/>
              </w:rPr>
              <w:t>3</w:t>
            </w:r>
          </w:p>
        </w:tc>
      </w:tr>
      <w:tr w:rsidR="0077472D" w:rsidRPr="005365AA" w14:paraId="2C746E86" w14:textId="77777777" w:rsidTr="0752BA49">
        <w:trPr>
          <w:trHeight w:val="300"/>
        </w:trPr>
        <w:tc>
          <w:tcPr>
            <w:tcW w:w="3315" w:type="dxa"/>
            <w:hideMark/>
          </w:tcPr>
          <w:p w14:paraId="2A634A71"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3E2B9B61"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29F4B946" w14:textId="0107BA2D" w:rsidR="0077472D" w:rsidRPr="005365AA" w:rsidRDefault="2EE8148B"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Children and adolescents do not participate in enough physical activity (PA) to meet the recommended levels, which stops them from benefiting from regular PA’s positive effects on their health. In recent years, technology-based initiatives have provided children and adolescents with a compelling and viable way to encourage PA. Based on the results of previous research, we have conducted this review to gain a better understanding of if and how specific commercially available wearable devices impact physical activity promotion and health in children and adolescents. We have conducted this review, that was based on a theoretical framework of the self-determination theory (SDT), and focused on the impact that wearable devices have on physical activity promotion and health. The electronic databases of Google Scholar, Web of Science, and PubMed were searched between 2010 and 2023 for all available literature. Eleven studies overall satisfied the requirements for inclusion criteria. The sample sizes for the studies ranged from 32 to 502, and they included both boys and girls between the ages of 4 and 14. Wearable technology was used for no less than one week and no more than four months. The current review revealed that commercial wearable activity tracker-based programs among children and adolescents had a positive influence on daily levels of MVPA and step totals, as well as sedentary behavior.</w:t>
            </w:r>
          </w:p>
        </w:tc>
      </w:tr>
      <w:tr w:rsidR="0077472D" w:rsidRPr="005365AA" w14:paraId="7D908072" w14:textId="77777777" w:rsidTr="0752BA49">
        <w:trPr>
          <w:trHeight w:val="300"/>
        </w:trPr>
        <w:tc>
          <w:tcPr>
            <w:tcW w:w="3315" w:type="dxa"/>
            <w:hideMark/>
          </w:tcPr>
          <w:p w14:paraId="09C0D816"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462E6975" w14:textId="2E8C0646" w:rsidR="0077472D" w:rsidRPr="005365AA" w:rsidRDefault="27A9A16B"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wearable devices; pedometers; accelerometers; physical activity; children; adolescents</w:t>
            </w:r>
          </w:p>
        </w:tc>
      </w:tr>
      <w:tr w:rsidR="0077472D" w:rsidRPr="005365AA" w14:paraId="31DD8D68" w14:textId="77777777" w:rsidTr="0752BA49">
        <w:trPr>
          <w:trHeight w:val="300"/>
        </w:trPr>
        <w:tc>
          <w:tcPr>
            <w:tcW w:w="3315" w:type="dxa"/>
            <w:hideMark/>
          </w:tcPr>
          <w:p w14:paraId="2B9C988A"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3194BB2D" w14:textId="673E4572" w:rsidR="0077472D" w:rsidRPr="005365AA" w:rsidRDefault="4F90C5F2"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Ovaj sistematski pregled ispituje učinke komercijalno dostupnih nosivih uređaja na promicanje tjelesne aktivnosti i zdravlja kod djece i adolescenata. Analizom 11 studija pokazano je da pametni satovi i narukvice mogu povećati razinu tjelesne aktivnosti, broj dnevnih koraka i smanjiti sedentarna ponašanja, ali učinci na motivaciju nisu jednoznačni i ovise o načinu dizajna intervencije.</w:t>
            </w:r>
          </w:p>
        </w:tc>
      </w:tr>
      <w:tr w:rsidR="0077472D" w:rsidRPr="005365AA" w14:paraId="1BB9D084" w14:textId="77777777" w:rsidTr="0752BA49">
        <w:trPr>
          <w:trHeight w:val="300"/>
        </w:trPr>
        <w:tc>
          <w:tcPr>
            <w:tcW w:w="3315" w:type="dxa"/>
            <w:hideMark/>
          </w:tcPr>
          <w:p w14:paraId="1B86A361"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1736767D"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1F6C605F" w14:textId="2CB8407A" w:rsidR="0077472D" w:rsidRPr="005365AA" w:rsidRDefault="7ECE3107"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P</w:t>
            </w:r>
            <w:r w:rsidR="79AE9D22" w:rsidRPr="0752BA49">
              <w:rPr>
                <w:rFonts w:eastAsiaTheme="minorEastAsia"/>
                <w:sz w:val="18"/>
                <w:szCs w:val="18"/>
                <w:lang w:eastAsia="hr-HR"/>
              </w:rPr>
              <w:t xml:space="preserve">regled pokazuje da komercijalno dostupni nosivi uređaji u većini uključenih studija imaju </w:t>
            </w:r>
            <w:r w:rsidR="79AE9D22" w:rsidRPr="0752BA49">
              <w:rPr>
                <w:rFonts w:eastAsiaTheme="minorEastAsia"/>
                <w:b/>
                <w:bCs/>
                <w:sz w:val="18"/>
                <w:szCs w:val="18"/>
                <w:lang w:eastAsia="hr-HR"/>
              </w:rPr>
              <w:t>pozitivan učinak na razinu tjelesne aktivnosti djece i adolescenata</w:t>
            </w:r>
            <w:r w:rsidR="79AE9D22" w:rsidRPr="0752BA49">
              <w:rPr>
                <w:rFonts w:eastAsiaTheme="minorEastAsia"/>
                <w:sz w:val="18"/>
                <w:szCs w:val="18"/>
                <w:lang w:eastAsia="hr-HR"/>
              </w:rPr>
              <w:t xml:space="preserve">, osobito u pogledu povećanja broja dnevnih koraka, razine umjereno do snažno intenzivne tjelesne aktivnosti (MVPA) i smanjenja sedentarnog ponašanja. Nosivi uređaji uglavnom su dobro prihvaćeni među djecom i adolescentima te povećavaju svijest o vlastitoj razini kretanja. Međutim, nalazi vezani uz motivaciju nisu jednoznačni: dok neka istraživanja bilježe povećanu motivaciju i angažman, druga upućuju na </w:t>
            </w:r>
            <w:r w:rsidR="79AE9D22" w:rsidRPr="0752BA49">
              <w:rPr>
                <w:rFonts w:eastAsiaTheme="minorEastAsia"/>
                <w:b/>
                <w:bCs/>
                <w:sz w:val="18"/>
                <w:szCs w:val="18"/>
                <w:lang w:eastAsia="hr-HR"/>
              </w:rPr>
              <w:t>smanjenje autonomne motivacije i porast vanjskog pritiska</w:t>
            </w:r>
            <w:r w:rsidR="79AE9D22" w:rsidRPr="0752BA49">
              <w:rPr>
                <w:rFonts w:eastAsiaTheme="minorEastAsia"/>
                <w:sz w:val="18"/>
                <w:szCs w:val="18"/>
                <w:lang w:eastAsia="hr-HR"/>
              </w:rPr>
              <w:t>, osobito kada su intervencije snažno usmjerene na ciljeve, metrike i postignuća. Autori zaključuju da učinak nosivih uređaja uvelike ovisi o načinu njihove primjene i motivacijskom okviru, pri čemu podrška autonomiji i pozitivnom iskustvu ima ključnu ulogu u održavanju dugoročnih učinaka</w:t>
            </w:r>
          </w:p>
        </w:tc>
      </w:tr>
      <w:tr w:rsidR="0077472D" w:rsidRPr="005365AA" w14:paraId="6A3BCAE7" w14:textId="77777777" w:rsidTr="0752BA49">
        <w:trPr>
          <w:trHeight w:val="300"/>
        </w:trPr>
        <w:tc>
          <w:tcPr>
            <w:tcW w:w="3315" w:type="dxa"/>
            <w:hideMark/>
          </w:tcPr>
          <w:p w14:paraId="42810DAD"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6BF688C0"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6BE924F5" w14:textId="5E689BBF" w:rsidR="0077472D" w:rsidRPr="005365AA" w:rsidRDefault="17424DB1"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 xml:space="preserve">Pruža snažnu empirijsku potporu ideji da nosiva tehnologija može pozitivno utjecati na razinu tjelesne aktivnosti djece i adolescenata, ali istovremeno upozorava na važne motivacijske rizike. Nalazi jasno pokazuju da tehnologija može poticati kretanje kada podržava autonomiju, osjećaj kompetencije i pozitivno iskustvo, dok prevelik fokus na ciljeve, metrike i vanjski pritisak može imati suprotan učinak. Za Mentifit to znači da bi nosivi uređaji trebali biti korišteni kao </w:t>
            </w:r>
            <w:r w:rsidRPr="0752BA49">
              <w:rPr>
                <w:rFonts w:eastAsiaTheme="minorEastAsia"/>
                <w:b/>
                <w:bCs/>
                <w:sz w:val="18"/>
                <w:szCs w:val="18"/>
                <w:lang w:eastAsia="hr-HR"/>
              </w:rPr>
              <w:t>podrška razvoju tjelesne pismenosti i zdravih navika</w:t>
            </w:r>
            <w:r w:rsidRPr="0752BA49">
              <w:rPr>
                <w:rFonts w:eastAsiaTheme="minorEastAsia"/>
                <w:sz w:val="18"/>
                <w:szCs w:val="18"/>
                <w:lang w:eastAsia="hr-HR"/>
              </w:rPr>
              <w:t>, a ne kao alat za kontrolu ili natjecanje. Rad također naglašava važnost dugoročne prihvatljivosti, jednostavnosti korištenja i integracije tehnologije u širi, edukativni i razvojno primjeren kontekst, što je izravno primjenjivo na dizajn i koncept Mentifit rješenja.</w:t>
            </w:r>
          </w:p>
        </w:tc>
      </w:tr>
      <w:tr w:rsidR="0077472D" w:rsidRPr="005365AA" w14:paraId="79DDC4B6" w14:textId="77777777" w:rsidTr="0752BA49">
        <w:trPr>
          <w:trHeight w:val="300"/>
        </w:trPr>
        <w:tc>
          <w:tcPr>
            <w:tcW w:w="3315" w:type="dxa"/>
            <w:hideMark/>
          </w:tcPr>
          <w:p w14:paraId="12E40285"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504172CB" w14:textId="77777777" w:rsidR="0077472D" w:rsidRPr="005365AA" w:rsidRDefault="0077472D" w:rsidP="0752BA49">
            <w:pPr>
              <w:spacing w:after="0" w:line="240" w:lineRule="auto"/>
              <w:textAlignment w:val="baseline"/>
              <w:rPr>
                <w:rFonts w:eastAsiaTheme="minorEastAsia"/>
                <w:sz w:val="18"/>
                <w:szCs w:val="18"/>
                <w:lang w:eastAsia="hr-HR"/>
              </w:rPr>
            </w:pPr>
          </w:p>
        </w:tc>
      </w:tr>
    </w:tbl>
    <w:p w14:paraId="04B325C9" w14:textId="4BD07AB2" w:rsidR="0077472D" w:rsidRDefault="0077472D" w:rsidP="005365AA"/>
    <w:p w14:paraId="17FFCCD1" w14:textId="4B6132B6"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3"/>
        <w:gridCol w:w="6489"/>
      </w:tblGrid>
      <w:tr w:rsidR="0077472D" w:rsidRPr="005365AA" w14:paraId="42935B07" w14:textId="77777777" w:rsidTr="0752BA49">
        <w:trPr>
          <w:trHeight w:val="300"/>
        </w:trPr>
        <w:tc>
          <w:tcPr>
            <w:tcW w:w="3315" w:type="dxa"/>
            <w:hideMark/>
          </w:tcPr>
          <w:p w14:paraId="2B235E7D" w14:textId="082B7F70" w:rsidR="0077472D"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59ADF41F" w:rsidRPr="0752BA49">
              <w:rPr>
                <w:rFonts w:eastAsiaTheme="minorEastAsia"/>
                <w:b/>
                <w:bCs/>
                <w:color w:val="000000" w:themeColor="text1"/>
                <w:sz w:val="18"/>
                <w:szCs w:val="18"/>
                <w:lang w:eastAsia="hr-HR"/>
              </w:rPr>
              <w:t> </w:t>
            </w:r>
          </w:p>
        </w:tc>
        <w:tc>
          <w:tcPr>
            <w:tcW w:w="9630" w:type="dxa"/>
          </w:tcPr>
          <w:p w14:paraId="06ECB974" w14:textId="704F5C04" w:rsidR="0077472D" w:rsidRPr="005365AA" w:rsidRDefault="7CF6D6A6" w:rsidP="0752BA49">
            <w:pPr>
              <w:spacing w:before="240" w:after="240" w:line="240" w:lineRule="auto"/>
              <w:textAlignment w:val="baseline"/>
              <w:rPr>
                <w:rFonts w:eastAsiaTheme="minorEastAsia"/>
                <w:sz w:val="18"/>
                <w:szCs w:val="18"/>
                <w:lang w:val="en-US"/>
              </w:rPr>
            </w:pPr>
            <w:r w:rsidRPr="0752BA49">
              <w:rPr>
                <w:rFonts w:eastAsiaTheme="minorEastAsia"/>
                <w:color w:val="212121"/>
                <w:sz w:val="18"/>
                <w:szCs w:val="18"/>
                <w:lang w:val="en-US"/>
              </w:rPr>
              <w:t xml:space="preserve">Knaus, S., Teutsch, F., Steininger, J., Alguacil, D. E., &amp; Riedl, S. (2025). Exercise and eating behaviors among Austrian transgender and gender-diverse adolescents. </w:t>
            </w:r>
            <w:r w:rsidRPr="0752BA49">
              <w:rPr>
                <w:rFonts w:eastAsiaTheme="minorEastAsia"/>
                <w:i/>
                <w:iCs/>
                <w:color w:val="212121"/>
                <w:sz w:val="18"/>
                <w:szCs w:val="18"/>
                <w:lang w:val="en-US"/>
              </w:rPr>
              <w:t>European journal of pediatrics</w:t>
            </w:r>
            <w:r w:rsidRPr="0752BA49">
              <w:rPr>
                <w:rFonts w:eastAsiaTheme="minorEastAsia"/>
                <w:color w:val="212121"/>
                <w:sz w:val="18"/>
                <w:szCs w:val="18"/>
                <w:lang w:val="en-US"/>
              </w:rPr>
              <w:t xml:space="preserve">, </w:t>
            </w:r>
            <w:r w:rsidRPr="0752BA49">
              <w:rPr>
                <w:rFonts w:eastAsiaTheme="minorEastAsia"/>
                <w:i/>
                <w:iCs/>
                <w:color w:val="212121"/>
                <w:sz w:val="18"/>
                <w:szCs w:val="18"/>
                <w:lang w:val="en-US"/>
              </w:rPr>
              <w:t>184</w:t>
            </w:r>
            <w:r w:rsidRPr="0752BA49">
              <w:rPr>
                <w:rFonts w:eastAsiaTheme="minorEastAsia"/>
                <w:color w:val="212121"/>
                <w:sz w:val="18"/>
                <w:szCs w:val="18"/>
                <w:lang w:val="en-US"/>
              </w:rPr>
              <w:t>(3), 197. https://doi.org/10.1007/s00431-025-06014-x</w:t>
            </w:r>
          </w:p>
        </w:tc>
      </w:tr>
      <w:tr w:rsidR="0077472D" w:rsidRPr="005365AA" w14:paraId="6FDBBD17" w14:textId="77777777" w:rsidTr="0752BA49">
        <w:trPr>
          <w:trHeight w:val="300"/>
        </w:trPr>
        <w:tc>
          <w:tcPr>
            <w:tcW w:w="3315" w:type="dxa"/>
            <w:hideMark/>
          </w:tcPr>
          <w:p w14:paraId="2A17E4C0"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9630" w:type="dxa"/>
          </w:tcPr>
          <w:p w14:paraId="71AF5EFB" w14:textId="57E65910" w:rsidR="0077472D" w:rsidRPr="005365AA" w:rsidRDefault="2C069475" w:rsidP="0752BA49">
            <w:pPr>
              <w:spacing w:after="0" w:line="240" w:lineRule="auto"/>
              <w:textAlignment w:val="baseline"/>
              <w:rPr>
                <w:rFonts w:eastAsiaTheme="minorEastAsia"/>
                <w:sz w:val="18"/>
                <w:szCs w:val="18"/>
              </w:rPr>
            </w:pPr>
            <w:r w:rsidRPr="0752BA49">
              <w:rPr>
                <w:rFonts w:eastAsiaTheme="minorEastAsia"/>
                <w:sz w:val="18"/>
                <w:szCs w:val="18"/>
              </w:rPr>
              <w:t>https://doi.org/10.1007/s00431-025-06014-x</w:t>
            </w:r>
          </w:p>
        </w:tc>
      </w:tr>
      <w:tr w:rsidR="0077472D" w:rsidRPr="005365AA" w14:paraId="3DF55D43" w14:textId="77777777" w:rsidTr="0752BA49">
        <w:trPr>
          <w:trHeight w:val="300"/>
        </w:trPr>
        <w:tc>
          <w:tcPr>
            <w:tcW w:w="3315" w:type="dxa"/>
            <w:hideMark/>
          </w:tcPr>
          <w:p w14:paraId="5BF20993"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9630" w:type="dxa"/>
          </w:tcPr>
          <w:p w14:paraId="6F662DBB" w14:textId="20261A7D" w:rsidR="0077472D" w:rsidRPr="005365AA" w:rsidRDefault="7847966F" w:rsidP="0752BA49">
            <w:pPr>
              <w:spacing w:after="0" w:line="240" w:lineRule="auto"/>
              <w:textAlignment w:val="baseline"/>
              <w:rPr>
                <w:rFonts w:eastAsiaTheme="minorEastAsia"/>
                <w:sz w:val="18"/>
                <w:szCs w:val="18"/>
                <w:lang w:val="en-US" w:eastAsia="hr-HR"/>
              </w:rPr>
            </w:pPr>
            <w:r w:rsidRPr="0752BA49">
              <w:rPr>
                <w:rFonts w:eastAsiaTheme="minorEastAsia"/>
                <w:sz w:val="18"/>
                <w:szCs w:val="18"/>
                <w:lang w:val="en-US" w:eastAsia="hr-HR"/>
              </w:rPr>
              <w:t>Physical activity, eating behaviours, minority stress, transgender health care</w:t>
            </w:r>
          </w:p>
        </w:tc>
      </w:tr>
      <w:tr w:rsidR="0077472D" w:rsidRPr="005365AA" w14:paraId="563D6DFF" w14:textId="77777777" w:rsidTr="0752BA49">
        <w:trPr>
          <w:trHeight w:val="300"/>
        </w:trPr>
        <w:tc>
          <w:tcPr>
            <w:tcW w:w="3315" w:type="dxa"/>
          </w:tcPr>
          <w:p w14:paraId="0907B6C6" w14:textId="77777777" w:rsidR="0077472D" w:rsidRPr="005365AA" w:rsidRDefault="59ADF41F"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9630" w:type="dxa"/>
          </w:tcPr>
          <w:p w14:paraId="07FB7ED5" w14:textId="376411A7" w:rsidR="0077472D" w:rsidRPr="005365AA" w:rsidRDefault="1398F0BF"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Iva Žegura</w:t>
            </w:r>
          </w:p>
        </w:tc>
      </w:tr>
      <w:tr w:rsidR="0077472D" w:rsidRPr="005365AA" w14:paraId="19F35B3C" w14:textId="77777777" w:rsidTr="0752BA49">
        <w:trPr>
          <w:trHeight w:val="300"/>
        </w:trPr>
        <w:tc>
          <w:tcPr>
            <w:tcW w:w="3315" w:type="dxa"/>
            <w:hideMark/>
          </w:tcPr>
          <w:p w14:paraId="0DB1A775"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7371E27B"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30A849D"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758E65A8"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72DECA26"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9630" w:type="dxa"/>
          </w:tcPr>
          <w:p w14:paraId="67FE1833" w14:textId="10006AF2" w:rsidR="0077472D" w:rsidRPr="005365AA" w:rsidRDefault="6B0258CE"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2</w:t>
            </w:r>
          </w:p>
        </w:tc>
      </w:tr>
      <w:tr w:rsidR="0077472D" w:rsidRPr="005365AA" w14:paraId="32A16CFD" w14:textId="77777777" w:rsidTr="0752BA49">
        <w:trPr>
          <w:trHeight w:val="300"/>
        </w:trPr>
        <w:tc>
          <w:tcPr>
            <w:tcW w:w="3315" w:type="dxa"/>
            <w:hideMark/>
          </w:tcPr>
          <w:p w14:paraId="27FFC632"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1A6324E3"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688ADF32" w14:textId="36B08A52" w:rsidR="0077472D" w:rsidRPr="005365AA" w:rsidRDefault="19C8FEEA" w:rsidP="0752BA49">
            <w:pPr>
              <w:spacing w:before="240" w:after="240" w:line="240" w:lineRule="auto"/>
              <w:textAlignment w:val="baseline"/>
              <w:rPr>
                <w:rFonts w:eastAsiaTheme="minorEastAsia"/>
                <w:sz w:val="18"/>
                <w:szCs w:val="18"/>
                <w:lang w:val="en-US"/>
              </w:rPr>
            </w:pPr>
            <w:r w:rsidRPr="0752BA49">
              <w:rPr>
                <w:rFonts w:eastAsiaTheme="minorEastAsia"/>
                <w:sz w:val="18"/>
                <w:szCs w:val="18"/>
              </w:rPr>
              <w:t xml:space="preserve">Transgender and gender-diverse (TGD) adolescent populations are at a higher risk for obesity. The aim of this study was to explore possible reasons, such as differences in eating and exercise behaviors. This was a prospective cross-sectional study of TGD adolescent patients at the pediatric endocrinology outpatient clinic of the Vienna General Hospital from January to July 2022. Patients were included in the World Health Organization’s Health Behaviour in School-Aged Children (HBSC) survey, which assesses for multiple measures including exercise, eating, and mental wellbeing. We recruited 32 patients via the outpatient clinic, and a further 55 adolescents self-identified as TGD through the survey. Responses from the cohort of 87 TGD adolescents were compared to the Austrian sample containing 10,110 participants. TGD adolescents reported significantly lower levels of physical activity than the national sample, both in instances of vigorous activity (p = 0.002) and any physical </w:t>
            </w:r>
            <w:r w:rsidRPr="0752BA49">
              <w:rPr>
                <w:rFonts w:eastAsiaTheme="minorEastAsia"/>
                <w:sz w:val="18"/>
                <w:szCs w:val="18"/>
                <w:lang w:val="en-US"/>
              </w:rPr>
              <w:t>activity lasting &gt; 60 min (p &lt; 0.001) per week. Gender variance was here demonstrated to be a strong predictor for physical inactivity levels, even when correcting for low mental health scores. Regarding body image, TGD participants were also more likely to describe themselves as feeling “too fat” (p = 0.001). No statistically significant difference in eating behavior was found. Conclusion: The results of this study point towards the complexity of healthcare needs in the TGD adolescent population.</w:t>
            </w:r>
            <w:r w:rsidR="3455A3DE" w:rsidRPr="0752BA49">
              <w:rPr>
                <w:rFonts w:eastAsiaTheme="minorEastAsia"/>
                <w:sz w:val="18"/>
                <w:szCs w:val="18"/>
                <w:lang w:val="en-US"/>
              </w:rPr>
              <w:t xml:space="preserve"> </w:t>
            </w:r>
            <w:r w:rsidRPr="0752BA49">
              <w:rPr>
                <w:rFonts w:eastAsiaTheme="minorEastAsia"/>
                <w:sz w:val="18"/>
                <w:szCs w:val="18"/>
                <w:lang w:val="en-US"/>
              </w:rPr>
              <w:t>The interconnectedness of mental health and exercise behavior is well described. However, qualitative work is needed to understand the specific relationship between gender expression, body image, eating and exercise behaviors, as well as social inclusion.</w:t>
            </w:r>
          </w:p>
        </w:tc>
      </w:tr>
      <w:tr w:rsidR="0077472D" w:rsidRPr="005365AA" w14:paraId="07CAFB5D" w14:textId="77777777" w:rsidTr="0752BA49">
        <w:trPr>
          <w:trHeight w:val="300"/>
        </w:trPr>
        <w:tc>
          <w:tcPr>
            <w:tcW w:w="3315" w:type="dxa"/>
            <w:hideMark/>
          </w:tcPr>
          <w:p w14:paraId="75DEE7FE"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9630" w:type="dxa"/>
          </w:tcPr>
          <w:p w14:paraId="0377036C" w14:textId="76D26035" w:rsidR="0077472D" w:rsidRPr="005365AA" w:rsidRDefault="259704D3" w:rsidP="0752BA49">
            <w:pPr>
              <w:spacing w:after="0" w:line="240" w:lineRule="auto"/>
              <w:textAlignment w:val="baseline"/>
              <w:rPr>
                <w:rFonts w:eastAsiaTheme="minorEastAsia"/>
                <w:sz w:val="18"/>
                <w:szCs w:val="18"/>
              </w:rPr>
            </w:pPr>
            <w:r w:rsidRPr="0752BA49">
              <w:rPr>
                <w:rFonts w:eastAsiaTheme="minorEastAsia"/>
                <w:color w:val="1F1F1F"/>
                <w:sz w:val="18"/>
                <w:szCs w:val="18"/>
                <w:lang w:val="hr"/>
              </w:rPr>
              <w:t>Adolescencija , Tjelovježba, Pretilost, Rodna raznolikost, · Socijalna uključenost, · Rodno utjelovljenje</w:t>
            </w:r>
          </w:p>
        </w:tc>
      </w:tr>
      <w:tr w:rsidR="0077472D" w:rsidRPr="005365AA" w14:paraId="31CB309E" w14:textId="77777777" w:rsidTr="0752BA49">
        <w:trPr>
          <w:trHeight w:val="300"/>
        </w:trPr>
        <w:tc>
          <w:tcPr>
            <w:tcW w:w="3315" w:type="dxa"/>
            <w:hideMark/>
          </w:tcPr>
          <w:p w14:paraId="1119C9F2"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9630" w:type="dxa"/>
          </w:tcPr>
          <w:p w14:paraId="2EBA3E47" w14:textId="5D61090D" w:rsidR="0077472D" w:rsidRPr="005365AA" w:rsidRDefault="45EFF9B9" w:rsidP="0752BA49">
            <w:pPr>
              <w:spacing w:before="240" w:after="240" w:line="240" w:lineRule="auto"/>
              <w:textAlignment w:val="baseline"/>
              <w:rPr>
                <w:rFonts w:eastAsiaTheme="minorEastAsia"/>
                <w:sz w:val="18"/>
                <w:szCs w:val="18"/>
              </w:rPr>
            </w:pPr>
            <w:r w:rsidRPr="0752BA49">
              <w:rPr>
                <w:rFonts w:eastAsiaTheme="minorEastAsia"/>
                <w:color w:val="1F1F1F"/>
                <w:sz w:val="18"/>
                <w:szCs w:val="18"/>
                <w:lang w:val="hr"/>
              </w:rPr>
              <w:t>Ova studija istražuje ponašanje u vezi s vježbanjem i prehranom među austrijskim transrodnim i rodno raznolikim (TGD) adolescentima, ističući njihove jedinstvene zdravstvene izazove. Pruža ključni uvid u zdravstveno ponašanje TGD adolescenata u srednjoj Europi, naglašavajući potrebu za ciljanim intervencijama za podršku njihovoj fizičkoj i mentalnoj dobrobiti. Nalazi zagovaraju inkluzivniji pristup zdravstvenoj skrbi koji prepoznaje jedinstvene izazove s kojima se suočava ova populacija.</w:t>
            </w:r>
          </w:p>
          <w:p w14:paraId="2565145E" w14:textId="66845353" w:rsidR="0077472D" w:rsidRPr="005365AA" w:rsidRDefault="0077472D" w:rsidP="0752BA49">
            <w:pPr>
              <w:spacing w:after="0" w:line="240" w:lineRule="auto"/>
              <w:textAlignment w:val="baseline"/>
              <w:rPr>
                <w:rFonts w:eastAsiaTheme="minorEastAsia"/>
                <w:sz w:val="18"/>
                <w:szCs w:val="18"/>
                <w:lang w:eastAsia="hr-HR"/>
              </w:rPr>
            </w:pPr>
          </w:p>
        </w:tc>
      </w:tr>
      <w:tr w:rsidR="0077472D" w:rsidRPr="005365AA" w14:paraId="14FEAFA6" w14:textId="77777777" w:rsidTr="0752BA49">
        <w:trPr>
          <w:trHeight w:val="300"/>
        </w:trPr>
        <w:tc>
          <w:tcPr>
            <w:tcW w:w="3315" w:type="dxa"/>
            <w:hideMark/>
          </w:tcPr>
          <w:p w14:paraId="5B14E866"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4C248A70"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5FFB8385" w14:textId="334BA927" w:rsidR="60FFC397" w:rsidRDefault="4AD0C00A" w:rsidP="0752BA49">
            <w:pPr>
              <w:pStyle w:val="Odlomakpopisa"/>
              <w:numPr>
                <w:ilvl w:val="0"/>
                <w:numId w:val="10"/>
              </w:numPr>
              <w:spacing w:after="0" w:line="240" w:lineRule="auto"/>
              <w:rPr>
                <w:rFonts w:eastAsiaTheme="minorEastAsia"/>
                <w:sz w:val="18"/>
                <w:szCs w:val="18"/>
              </w:rPr>
            </w:pPr>
            <w:r w:rsidRPr="0752BA49">
              <w:rPr>
                <w:rFonts w:eastAsiaTheme="minorEastAsia"/>
                <w:color w:val="1F1F1F"/>
                <w:sz w:val="18"/>
                <w:szCs w:val="18"/>
                <w:lang w:val="hr"/>
              </w:rPr>
              <w:t>Tjelesna aktivnost: Adolescenti s GD-om prijavili su značajno niže razine tjelesne aktivnosti od nacionalnog uzorka, s manje slučajeva energične aktivnosti i bilo kakvom tjelesnom aktivnošću koja je trajala dulje od 60 minuta tjedno. Rodna varijacija bila je snažan prediktor tjelesne neaktivnosti, čak i kada se uzmu u obzir rezultati mentalnog zdravlja.</w:t>
            </w:r>
            <w:r w:rsidR="60FFC397">
              <w:br/>
            </w:r>
            <w:r w:rsidR="60FFC397">
              <w:br/>
            </w:r>
            <w:r w:rsidRPr="0752BA49">
              <w:rPr>
                <w:rFonts w:eastAsiaTheme="minorEastAsia"/>
                <w:color w:val="1F1F1F"/>
                <w:sz w:val="18"/>
                <w:szCs w:val="18"/>
                <w:lang w:val="hr"/>
              </w:rPr>
              <w:t>Navike hranjenja: Nisu pronađene značajne razlike u samoprocjeni navika hranjenja između adolescenata s GD-om i nacionalnog uzorka, iako je postojao trend prema većoj konzumaciji energetskih pića u skupini s GD-om.</w:t>
            </w:r>
            <w:r w:rsidR="60FFC397">
              <w:br/>
            </w:r>
            <w:r w:rsidR="60FFC397">
              <w:br/>
            </w:r>
            <w:r w:rsidRPr="0752BA49">
              <w:rPr>
                <w:rFonts w:eastAsiaTheme="minorEastAsia"/>
                <w:color w:val="1F1F1F"/>
                <w:sz w:val="18"/>
                <w:szCs w:val="18"/>
                <w:lang w:val="hr"/>
              </w:rPr>
              <w:t>Mentalno zdravlje i slika tijela: Adolescenti s GD-om pokazali su značajno niže zadovoljstvo životom i veće stope depresije i osjećaja socijalne isključenosti. Većina je izjavila da se osjeća "previše debelo", što je u suprotnosti s nacionalnim uzorkom.</w:t>
            </w:r>
            <w:r w:rsidR="60FFC397">
              <w:br/>
            </w:r>
            <w:r w:rsidR="60FFC397">
              <w:br/>
            </w:r>
            <w:r w:rsidRPr="0752BA49">
              <w:rPr>
                <w:rFonts w:eastAsiaTheme="minorEastAsia"/>
                <w:color w:val="1F1F1F"/>
                <w:sz w:val="18"/>
                <w:szCs w:val="18"/>
                <w:lang w:val="hr"/>
              </w:rPr>
              <w:t>Nasilje: Iako nije bilo značajnih razlika u samoprocjeni iskustava maltretiranja u školi, adolescenti s GD-om prijavili su veće slučajeve elektroničkog nasilja.</w:t>
            </w:r>
          </w:p>
          <w:p w14:paraId="597D26EE" w14:textId="318D89BC" w:rsidR="0077472D" w:rsidRPr="005365AA" w:rsidRDefault="0077472D" w:rsidP="0752BA49">
            <w:pPr>
              <w:spacing w:after="0" w:line="240" w:lineRule="auto"/>
              <w:ind w:left="708"/>
              <w:textAlignment w:val="baseline"/>
              <w:rPr>
                <w:rFonts w:eastAsiaTheme="minorEastAsia"/>
                <w:sz w:val="18"/>
                <w:szCs w:val="18"/>
              </w:rPr>
            </w:pPr>
          </w:p>
          <w:p w14:paraId="30DFCE6B" w14:textId="4BA3981F" w:rsidR="0077472D" w:rsidRPr="005365AA" w:rsidRDefault="0077472D" w:rsidP="0752BA49">
            <w:pPr>
              <w:spacing w:after="0" w:line="240" w:lineRule="auto"/>
              <w:textAlignment w:val="baseline"/>
              <w:rPr>
                <w:rFonts w:eastAsiaTheme="minorEastAsia"/>
                <w:sz w:val="18"/>
                <w:szCs w:val="18"/>
                <w:lang w:eastAsia="hr-HR"/>
              </w:rPr>
            </w:pPr>
          </w:p>
        </w:tc>
      </w:tr>
      <w:tr w:rsidR="0077472D" w:rsidRPr="005365AA" w14:paraId="205489A3" w14:textId="77777777" w:rsidTr="0752BA49">
        <w:trPr>
          <w:trHeight w:val="300"/>
        </w:trPr>
        <w:tc>
          <w:tcPr>
            <w:tcW w:w="3315" w:type="dxa"/>
            <w:hideMark/>
          </w:tcPr>
          <w:p w14:paraId="09A51F71"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1EB3E501"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9630" w:type="dxa"/>
          </w:tcPr>
          <w:p w14:paraId="00EF4490" w14:textId="527A8C76" w:rsidR="41CA2862" w:rsidRDefault="07FC64AA" w:rsidP="0752BA49">
            <w:pPr>
              <w:spacing w:before="240" w:after="240" w:line="240" w:lineRule="auto"/>
              <w:rPr>
                <w:rFonts w:eastAsiaTheme="minorEastAsia"/>
                <w:color w:val="1F1F1F"/>
                <w:sz w:val="18"/>
                <w:szCs w:val="18"/>
                <w:lang w:val="hr"/>
              </w:rPr>
            </w:pPr>
            <w:r w:rsidRPr="0752BA49">
              <w:rPr>
                <w:rFonts w:eastAsiaTheme="minorEastAsia"/>
                <w:color w:val="1F1F1F"/>
                <w:sz w:val="18"/>
                <w:szCs w:val="18"/>
                <w:lang w:val="hr"/>
              </w:rPr>
              <w:t>Nalazi ove studije mogu se primijeniti na hrvatski projekt Menti Fit usmjeren na podizanje tjelesne pismenosti među mladima i adolescentima na nekoliko načina:</w:t>
            </w:r>
            <w:r w:rsidR="41CA2862">
              <w:br/>
            </w:r>
            <w:r w:rsidR="41CA2862">
              <w:br/>
            </w:r>
            <w:r w:rsidRPr="0752BA49">
              <w:rPr>
                <w:rFonts w:eastAsiaTheme="minorEastAsia"/>
                <w:color w:val="1F1F1F"/>
                <w:sz w:val="18"/>
                <w:szCs w:val="18"/>
                <w:lang w:val="hr"/>
              </w:rPr>
              <w:t>1. Inkluzivne politike tjelesnog odgoja</w:t>
            </w:r>
            <w:r w:rsidR="41CA2862">
              <w:br/>
            </w:r>
            <w:r w:rsidR="41CA2862">
              <w:br/>
            </w:r>
            <w:r w:rsidRPr="0752BA49">
              <w:rPr>
                <w:rFonts w:eastAsiaTheme="minorEastAsia"/>
                <w:color w:val="1F1F1F"/>
                <w:sz w:val="18"/>
                <w:szCs w:val="18"/>
                <w:lang w:val="hr"/>
              </w:rPr>
              <w:t>Studija ističe da podjela sporta i tjelesnog odgoja po spolu/rodu može isključiti transrodne i rodno raznolike (TGD) adolescente. Hrvatski programi mogu usvojiti inkluzivne politike koje omogućuju TGD mladima sudjelovanje u tjelesnim aktivnostima bez diskriminacije ili nelagode. To bi moglo uključivati ​​stvaranje rodno neutralnih sportskih timova ili dopuštanje učenicima da biraju timove na temelju svog rodnog identiteta.</w:t>
            </w:r>
            <w:r w:rsidR="41CA2862">
              <w:br/>
            </w:r>
            <w:r w:rsidR="41CA2862">
              <w:br/>
            </w:r>
            <w:r w:rsidRPr="0752BA49">
              <w:rPr>
                <w:rFonts w:eastAsiaTheme="minorEastAsia"/>
                <w:color w:val="1F1F1F"/>
                <w:sz w:val="18"/>
                <w:szCs w:val="18"/>
                <w:lang w:val="hr"/>
              </w:rPr>
              <w:t>2. Prilagođeni programi vježbanja</w:t>
            </w:r>
            <w:r w:rsidR="41CA2862">
              <w:br/>
            </w:r>
            <w:r w:rsidR="41CA2862">
              <w:br/>
            </w:r>
            <w:r w:rsidRPr="0752BA49">
              <w:rPr>
                <w:rFonts w:eastAsiaTheme="minorEastAsia"/>
                <w:color w:val="1F1F1F"/>
                <w:sz w:val="18"/>
                <w:szCs w:val="18"/>
                <w:lang w:val="hr"/>
              </w:rPr>
              <w:t>Studija sugerira da TGD adolescenti mogu imati koristi od grupnih programa vježbanja prilagođenih njihovim potrebama. Hrvatske inicijative mogle bi razviti programe koji se usredotočuju na stvaranje sigurnog, podržavajućeg okruženja za TGD mlade kako bi se uključili u tjelesne aktivnosti, potičući i fizičko i mentalno blagostanje.</w:t>
            </w:r>
            <w:r w:rsidR="41CA2862">
              <w:br/>
            </w:r>
            <w:r w:rsidR="41CA2862">
              <w:br/>
            </w:r>
            <w:r w:rsidRPr="0752BA49">
              <w:rPr>
                <w:rFonts w:eastAsiaTheme="minorEastAsia"/>
                <w:color w:val="1F1F1F"/>
                <w:sz w:val="18"/>
                <w:szCs w:val="18"/>
                <w:lang w:val="hr"/>
              </w:rPr>
              <w:t>3. Integracija podrške mentalnom zdravlju</w:t>
            </w:r>
            <w:r w:rsidR="41CA2862">
              <w:br/>
            </w:r>
            <w:r w:rsidR="41CA2862">
              <w:br/>
            </w:r>
            <w:r w:rsidRPr="0752BA49">
              <w:rPr>
                <w:rFonts w:eastAsiaTheme="minorEastAsia"/>
                <w:color w:val="1F1F1F"/>
                <w:sz w:val="18"/>
                <w:szCs w:val="18"/>
                <w:lang w:val="hr"/>
              </w:rPr>
              <w:t>Studija je pronašla snažnu vezu između mentalnog zdravlja i razine tjelesne aktivnosti. Hrvatski programi mogli bi integrirati podršku mentalnom zdravlju u inicijative tjelesne pismenosti, pružajući savjetovanje, vršnjačke grupe podrške i resurse za rješavanje psiholoških izazova s ​​kojima se suočavaju TGD adolescenti</w:t>
            </w:r>
          </w:p>
          <w:p w14:paraId="6248C210" w14:textId="3CEC49D9" w:rsidR="7D4F5115" w:rsidRDefault="49C15462" w:rsidP="0752BA49">
            <w:pPr>
              <w:spacing w:after="0" w:line="240" w:lineRule="auto"/>
              <w:rPr>
                <w:rFonts w:eastAsiaTheme="minorEastAsia"/>
                <w:sz w:val="18"/>
                <w:szCs w:val="18"/>
              </w:rPr>
            </w:pPr>
            <w:r w:rsidRPr="0752BA49">
              <w:rPr>
                <w:rFonts w:eastAsiaTheme="minorEastAsia"/>
                <w:color w:val="1F1F1F"/>
                <w:sz w:val="18"/>
                <w:szCs w:val="18"/>
                <w:lang w:val="hr"/>
              </w:rPr>
              <w:t>4</w:t>
            </w:r>
            <w:r w:rsidR="1DC525E6" w:rsidRPr="0752BA49">
              <w:rPr>
                <w:rFonts w:eastAsiaTheme="minorEastAsia"/>
                <w:color w:val="1F1F1F"/>
                <w:sz w:val="18"/>
                <w:szCs w:val="18"/>
                <w:lang w:val="hr"/>
              </w:rPr>
              <w:t>. Svijest o slici tijela</w:t>
            </w:r>
            <w:r w:rsidR="7D4F5115">
              <w:br/>
            </w:r>
            <w:r w:rsidR="7D4F5115">
              <w:br/>
            </w:r>
            <w:r w:rsidR="1DC525E6" w:rsidRPr="0752BA49">
              <w:rPr>
                <w:rFonts w:eastAsiaTheme="minorEastAsia"/>
                <w:color w:val="1F1F1F"/>
                <w:sz w:val="18"/>
                <w:szCs w:val="18"/>
                <w:lang w:val="hr"/>
              </w:rPr>
              <w:t>Studija naglašava važnost rješavanja problema slike tijela među adolescentima s poremećajem rasta i razvoja seksualnog identiteta (TGD). Hrvatski programi mogli bi uključivati ​​edukaciju o pozitivnom odnosu prema tijelu i samoprihvaćanju, pomažući mladima da razviju zdravije odnose sa svojim tijelom i poticajući ih na bavljenje tjelesnim aktivnostima.</w:t>
            </w:r>
            <w:r w:rsidR="7D4F5115">
              <w:br/>
            </w:r>
            <w:r w:rsidR="7D4F5115">
              <w:br/>
            </w:r>
            <w:r w:rsidR="1DC525E6" w:rsidRPr="0752BA49">
              <w:rPr>
                <w:rFonts w:eastAsiaTheme="minorEastAsia"/>
                <w:color w:val="1F1F1F"/>
                <w:sz w:val="18"/>
                <w:szCs w:val="18"/>
                <w:lang w:val="hr"/>
              </w:rPr>
              <w:t>5. Borba protiv vršnjačkog nasilja i elektroničkog nasilja</w:t>
            </w:r>
            <w:r w:rsidR="7D4F5115">
              <w:br/>
            </w:r>
            <w:r w:rsidR="7D4F5115">
              <w:br/>
            </w:r>
            <w:r w:rsidR="1DC525E6" w:rsidRPr="0752BA49">
              <w:rPr>
                <w:rFonts w:eastAsiaTheme="minorEastAsia"/>
                <w:color w:val="1F1F1F"/>
                <w:sz w:val="18"/>
                <w:szCs w:val="18"/>
                <w:lang w:val="hr"/>
              </w:rPr>
              <w:t>TGD adolescenti u studiji izvijestili su o višoj razini elektroničkog nasilja. Hrvatski programi mogli bi uključivati ​​kampanje i radionice protiv vršnjačkog nasilja kako bi se stvorilo uključivije i podržavajuće okruženje za sve mlade, uključujući i TGD osobe.</w:t>
            </w:r>
            <w:r w:rsidR="7D4F5115">
              <w:br/>
            </w:r>
            <w:r w:rsidR="7D4F5115">
              <w:br/>
            </w:r>
            <w:r w:rsidR="1DC525E6" w:rsidRPr="0752BA49">
              <w:rPr>
                <w:rFonts w:eastAsiaTheme="minorEastAsia"/>
                <w:color w:val="1F1F1F"/>
                <w:sz w:val="18"/>
                <w:szCs w:val="18"/>
                <w:lang w:val="hr"/>
              </w:rPr>
              <w:t>6. Uključivanje zajednice</w:t>
            </w:r>
            <w:r w:rsidR="7D4F5115">
              <w:br/>
            </w:r>
            <w:r w:rsidR="7D4F5115">
              <w:br/>
            </w:r>
            <w:r w:rsidR="1DC525E6" w:rsidRPr="0752BA49">
              <w:rPr>
                <w:rFonts w:eastAsiaTheme="minorEastAsia"/>
                <w:color w:val="1F1F1F"/>
                <w:sz w:val="18"/>
                <w:szCs w:val="18"/>
                <w:lang w:val="hr"/>
              </w:rPr>
              <w:t>Studija naglašava važnost socijalne uključenosti za TGD adolescente. Hrvatski programi mogli bi uključivati ​​obitelji, škole i zajednice u promicanje prihvaćanja i razumijevanja rodne raznolikosti, osiguravajući da se TGD mladi osjećaju podržano u svojim nastojanjima tjelesne aktivnosti.</w:t>
            </w:r>
          </w:p>
          <w:p w14:paraId="2D882AF0" w14:textId="0534E662" w:rsidR="69336EC4" w:rsidRDefault="11452150" w:rsidP="0752BA49">
            <w:pPr>
              <w:spacing w:before="240" w:after="240" w:line="240" w:lineRule="auto"/>
              <w:rPr>
                <w:rFonts w:eastAsiaTheme="minorEastAsia"/>
                <w:sz w:val="18"/>
                <w:szCs w:val="18"/>
                <w:lang w:val="en-US"/>
              </w:rPr>
            </w:pPr>
            <w:r w:rsidRPr="0752BA49">
              <w:rPr>
                <w:rFonts w:eastAsiaTheme="minorEastAsia"/>
                <w:color w:val="1F1F1F"/>
                <w:sz w:val="18"/>
                <w:szCs w:val="18"/>
                <w:lang w:val="hr"/>
              </w:rPr>
              <w:t>7. Istraživanje mješovitim metodama</w:t>
            </w:r>
            <w:r w:rsidR="69336EC4">
              <w:br/>
            </w:r>
            <w:r w:rsidR="69336EC4">
              <w:br/>
            </w:r>
            <w:r w:rsidRPr="0752BA49">
              <w:rPr>
                <w:rFonts w:eastAsiaTheme="minorEastAsia"/>
                <w:color w:val="1F1F1F"/>
                <w:sz w:val="18"/>
                <w:szCs w:val="18"/>
                <w:lang w:val="hr"/>
              </w:rPr>
              <w:t>Studija poziva na više kvalitativnih istraživanja kako bi se razumio nijansirani odnos između rodnog identiteta, slike tijela i tjelesne aktivnosti. Hrvatski programi mogli bi provoditi slična istraživanja mješovitim metodama kako bi bolje razumjeli potrebe mladih s rodnim invaliditetom u njihovom vlastitom kulturnom kontekstu i prilagodili intervencije u skladu s tim.</w:t>
            </w:r>
            <w:r w:rsidR="69336EC4">
              <w:br/>
            </w:r>
            <w:r w:rsidR="69336EC4">
              <w:br/>
            </w:r>
            <w:r w:rsidRPr="0752BA49">
              <w:rPr>
                <w:rFonts w:eastAsiaTheme="minorEastAsia"/>
                <w:color w:val="1F1F1F"/>
                <w:sz w:val="18"/>
                <w:szCs w:val="18"/>
                <w:lang w:val="hr"/>
              </w:rPr>
              <w:t>8. Obuka za edukatore i trenere</w:t>
            </w:r>
            <w:r w:rsidR="69336EC4">
              <w:br/>
            </w:r>
            <w:r w:rsidR="69336EC4">
              <w:br/>
            </w:r>
            <w:r w:rsidRPr="0752BA49">
              <w:rPr>
                <w:rFonts w:eastAsiaTheme="minorEastAsia"/>
                <w:color w:val="1F1F1F"/>
                <w:sz w:val="18"/>
                <w:szCs w:val="18"/>
                <w:lang w:val="hr"/>
              </w:rPr>
              <w:t>Hrvatski programi mogli bi pružiti obuku edukatorima i trenerima o rodnoj raznolikosti, mentalnom zdravlju i inkluzivnim praksama kako bi se osiguralo da se adolescenti s rodnim invaliditetom osjećaju sigurno i podržano u okruženju tjelesnog odgoja i sporta.</w:t>
            </w:r>
            <w:r w:rsidR="69336EC4">
              <w:br/>
            </w:r>
            <w:r w:rsidR="69336EC4">
              <w:br/>
            </w:r>
            <w:r w:rsidRPr="0752BA49">
              <w:rPr>
                <w:rFonts w:eastAsiaTheme="minorEastAsia"/>
                <w:color w:val="1F1F1F"/>
                <w:sz w:val="18"/>
                <w:szCs w:val="18"/>
                <w:lang w:val="hr"/>
              </w:rPr>
              <w:t>Provođenjem ovih strategija, hrvatski programi poput MentiFita mogu stvoriti inkluzivnije i podržavajuće okruženje za mlade s rodnim invaliditetom, pomažući im u razvoju tjelesne pismenosti istovremeno rješavajući njihove jedinstvene izazove i potrebe.</w:t>
            </w:r>
          </w:p>
          <w:p w14:paraId="76651E9E" w14:textId="2CE9131C" w:rsidR="0077472D" w:rsidRPr="005365AA" w:rsidRDefault="0077472D" w:rsidP="0752BA49">
            <w:pPr>
              <w:spacing w:after="0" w:line="240" w:lineRule="auto"/>
              <w:textAlignment w:val="baseline"/>
              <w:rPr>
                <w:rFonts w:eastAsiaTheme="minorEastAsia"/>
                <w:sz w:val="18"/>
                <w:szCs w:val="18"/>
                <w:lang w:eastAsia="hr-HR"/>
              </w:rPr>
            </w:pPr>
          </w:p>
        </w:tc>
      </w:tr>
      <w:tr w:rsidR="0077472D" w:rsidRPr="005365AA" w14:paraId="10F9966D" w14:textId="77777777" w:rsidTr="0752BA49">
        <w:trPr>
          <w:trHeight w:val="300"/>
        </w:trPr>
        <w:tc>
          <w:tcPr>
            <w:tcW w:w="3315" w:type="dxa"/>
            <w:hideMark/>
          </w:tcPr>
          <w:p w14:paraId="6630FDF7"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9630" w:type="dxa"/>
          </w:tcPr>
          <w:p w14:paraId="195AA993" w14:textId="3E129789" w:rsidR="74F21756" w:rsidRDefault="0BB7DEB6" w:rsidP="0752BA49">
            <w:pPr>
              <w:spacing w:after="0" w:line="240" w:lineRule="auto"/>
              <w:rPr>
                <w:rFonts w:eastAsiaTheme="minorEastAsia"/>
                <w:sz w:val="18"/>
                <w:szCs w:val="18"/>
              </w:rPr>
            </w:pPr>
            <w:r w:rsidRPr="0752BA49">
              <w:rPr>
                <w:rFonts w:eastAsiaTheme="minorEastAsia"/>
                <w:color w:val="1F1F1F"/>
                <w:sz w:val="18"/>
                <w:szCs w:val="18"/>
                <w:lang w:val="hr"/>
              </w:rPr>
              <w:t>Oslanjanje studije na samoprocjenu podataka možda ne obuhvaća u potpunosti složenost iskustava sudionika.</w:t>
            </w:r>
            <w:r w:rsidR="74F21756">
              <w:br/>
            </w:r>
            <w:r w:rsidR="74F21756">
              <w:br/>
            </w:r>
            <w:r w:rsidRPr="0752BA49">
              <w:rPr>
                <w:rFonts w:eastAsiaTheme="minorEastAsia"/>
                <w:color w:val="1F1F1F"/>
                <w:sz w:val="18"/>
                <w:szCs w:val="18"/>
                <w:lang w:val="hr"/>
              </w:rPr>
              <w:t>Formulacija pitanja o rodnom identitetu u nacionalnom istraživanju mogla je dovesti do nedovoljne zastupljenosti adolescenata s TGD-om.</w:t>
            </w:r>
            <w:r w:rsidR="74F21756">
              <w:br/>
            </w:r>
            <w:r w:rsidR="74F21756">
              <w:br/>
            </w:r>
            <w:r w:rsidRPr="0752BA49">
              <w:rPr>
                <w:rFonts w:eastAsiaTheme="minorEastAsia"/>
                <w:color w:val="1F1F1F"/>
                <w:sz w:val="18"/>
                <w:szCs w:val="18"/>
                <w:lang w:val="hr"/>
              </w:rPr>
              <w:t>Relativno mala veličina uzorka može ograničiti mogućnost otkrivanja značajnih razlika u prehrambenim navikama.</w:t>
            </w:r>
          </w:p>
          <w:p w14:paraId="008BDF13" w14:textId="22B8238E" w:rsidR="0077472D" w:rsidRPr="005365AA" w:rsidRDefault="0077472D" w:rsidP="0752BA49">
            <w:pPr>
              <w:spacing w:after="0" w:line="240" w:lineRule="auto"/>
              <w:textAlignment w:val="baseline"/>
              <w:rPr>
                <w:rFonts w:eastAsiaTheme="minorEastAsia"/>
                <w:sz w:val="18"/>
                <w:szCs w:val="18"/>
                <w:lang w:eastAsia="hr-HR"/>
              </w:rPr>
            </w:pPr>
          </w:p>
        </w:tc>
      </w:tr>
    </w:tbl>
    <w:p w14:paraId="6AE34037" w14:textId="520C81C1" w:rsidR="0077472D" w:rsidRDefault="0077472D" w:rsidP="005365AA"/>
    <w:p w14:paraId="44DAAA42" w14:textId="13C27FBE" w:rsidR="0077472D" w:rsidRDefault="0077472D" w:rsidP="005365A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0"/>
        <w:gridCol w:w="6572"/>
      </w:tblGrid>
      <w:tr w:rsidR="0077472D" w:rsidRPr="005365AA" w14:paraId="778AE808" w14:textId="77777777" w:rsidTr="0752BA49">
        <w:trPr>
          <w:trHeight w:val="300"/>
        </w:trPr>
        <w:tc>
          <w:tcPr>
            <w:tcW w:w="2490" w:type="dxa"/>
            <w:hideMark/>
          </w:tcPr>
          <w:p w14:paraId="7590CB14" w14:textId="6BB6A29C" w:rsidR="0077472D" w:rsidRPr="005365AA" w:rsidRDefault="33D10D42"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Referenca</w:t>
            </w:r>
            <w:r w:rsidR="59ADF41F" w:rsidRPr="0752BA49">
              <w:rPr>
                <w:rFonts w:eastAsiaTheme="minorEastAsia"/>
                <w:b/>
                <w:bCs/>
                <w:color w:val="000000" w:themeColor="text1"/>
                <w:sz w:val="18"/>
                <w:szCs w:val="18"/>
                <w:lang w:eastAsia="hr-HR"/>
              </w:rPr>
              <w:t> </w:t>
            </w:r>
          </w:p>
        </w:tc>
        <w:tc>
          <w:tcPr>
            <w:tcW w:w="6572" w:type="dxa"/>
          </w:tcPr>
          <w:p w14:paraId="4ECBB27B" w14:textId="79BA00A6" w:rsidR="0077472D" w:rsidRPr="005365AA" w:rsidRDefault="3AD314EC" w:rsidP="0752BA49">
            <w:pPr>
              <w:spacing w:before="240" w:after="240" w:line="240" w:lineRule="auto"/>
              <w:textAlignment w:val="baseline"/>
              <w:rPr>
                <w:rFonts w:eastAsiaTheme="minorEastAsia"/>
                <w:sz w:val="18"/>
                <w:szCs w:val="18"/>
                <w:lang w:val="en-US"/>
              </w:rPr>
            </w:pPr>
            <w:r w:rsidRPr="0752BA49">
              <w:rPr>
                <w:rFonts w:eastAsiaTheme="minorEastAsia"/>
                <w:color w:val="212121"/>
                <w:sz w:val="18"/>
                <w:szCs w:val="18"/>
                <w:lang w:val="en-US"/>
              </w:rPr>
              <w:t xml:space="preserve">Guddal, M. H., Stensland, S. Ø., Småstuen, M. C., Johnsen, M. B., Zwart, J. A., &amp; Storheim, K. (2019). Physical activity and sport participation among adolescents: associations with mental health in different age groups. Results from the Young-HUNT study: a cross-sectional survey. </w:t>
            </w:r>
            <w:r w:rsidRPr="0752BA49">
              <w:rPr>
                <w:rFonts w:eastAsiaTheme="minorEastAsia"/>
                <w:i/>
                <w:iCs/>
                <w:color w:val="212121"/>
                <w:sz w:val="18"/>
                <w:szCs w:val="18"/>
                <w:lang w:val="en-US"/>
              </w:rPr>
              <w:t>BMJ open</w:t>
            </w:r>
            <w:r w:rsidRPr="0752BA49">
              <w:rPr>
                <w:rFonts w:eastAsiaTheme="minorEastAsia"/>
                <w:color w:val="212121"/>
                <w:sz w:val="18"/>
                <w:szCs w:val="18"/>
                <w:lang w:val="en-US"/>
              </w:rPr>
              <w:t xml:space="preserve">, </w:t>
            </w:r>
            <w:r w:rsidRPr="0752BA49">
              <w:rPr>
                <w:rFonts w:eastAsiaTheme="minorEastAsia"/>
                <w:i/>
                <w:iCs/>
                <w:color w:val="212121"/>
                <w:sz w:val="18"/>
                <w:szCs w:val="18"/>
                <w:lang w:val="en-US"/>
              </w:rPr>
              <w:t>9</w:t>
            </w:r>
            <w:r w:rsidRPr="0752BA49">
              <w:rPr>
                <w:rFonts w:eastAsiaTheme="minorEastAsia"/>
                <w:color w:val="212121"/>
                <w:sz w:val="18"/>
                <w:szCs w:val="18"/>
                <w:lang w:val="en-US"/>
              </w:rPr>
              <w:t>(9), e028555. https://doi.org/10.1136/bmjopen-2018-028555</w:t>
            </w:r>
          </w:p>
        </w:tc>
      </w:tr>
      <w:tr w:rsidR="0077472D" w:rsidRPr="005365AA" w14:paraId="18188B93" w14:textId="77777777" w:rsidTr="0752BA49">
        <w:trPr>
          <w:trHeight w:val="300"/>
        </w:trPr>
        <w:tc>
          <w:tcPr>
            <w:tcW w:w="2490" w:type="dxa"/>
            <w:hideMark/>
          </w:tcPr>
          <w:p w14:paraId="26F46276"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Link</w:t>
            </w:r>
            <w:r w:rsidRPr="0752BA49">
              <w:rPr>
                <w:rFonts w:eastAsiaTheme="minorEastAsia"/>
                <w:b/>
                <w:bCs/>
                <w:color w:val="000000" w:themeColor="text1"/>
                <w:sz w:val="18"/>
                <w:szCs w:val="18"/>
                <w:lang w:eastAsia="hr-HR"/>
              </w:rPr>
              <w:t> </w:t>
            </w:r>
          </w:p>
        </w:tc>
        <w:tc>
          <w:tcPr>
            <w:tcW w:w="6572" w:type="dxa"/>
          </w:tcPr>
          <w:p w14:paraId="0871FD8C" w14:textId="43AABFEE" w:rsidR="0077472D" w:rsidRPr="005365AA" w:rsidRDefault="58A4A621" w:rsidP="0752BA49">
            <w:pPr>
              <w:spacing w:before="240" w:after="240" w:line="240" w:lineRule="auto"/>
              <w:textAlignment w:val="baseline"/>
              <w:rPr>
                <w:rFonts w:eastAsiaTheme="minorEastAsia"/>
                <w:sz w:val="18"/>
                <w:szCs w:val="18"/>
              </w:rPr>
            </w:pPr>
            <w:r w:rsidRPr="0752BA49">
              <w:rPr>
                <w:rFonts w:eastAsiaTheme="minorEastAsia"/>
                <w:sz w:val="18"/>
                <w:szCs w:val="18"/>
              </w:rPr>
              <w:t>doi:10.1136/bmjopen-2018-028555</w:t>
            </w:r>
          </w:p>
        </w:tc>
      </w:tr>
      <w:tr w:rsidR="0077472D" w:rsidRPr="005365AA" w14:paraId="42F83072" w14:textId="77777777" w:rsidTr="0752BA49">
        <w:trPr>
          <w:trHeight w:val="300"/>
        </w:trPr>
        <w:tc>
          <w:tcPr>
            <w:tcW w:w="2490" w:type="dxa"/>
            <w:hideMark/>
          </w:tcPr>
          <w:p w14:paraId="00AF4439"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Područje-tema</w:t>
            </w:r>
          </w:p>
        </w:tc>
        <w:tc>
          <w:tcPr>
            <w:tcW w:w="6572" w:type="dxa"/>
          </w:tcPr>
          <w:p w14:paraId="5ED8EC90" w14:textId="26FD281D" w:rsidR="0077472D" w:rsidRPr="005365AA" w:rsidRDefault="720024B6"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Physical activity, mental health</w:t>
            </w:r>
          </w:p>
        </w:tc>
      </w:tr>
      <w:tr w:rsidR="0077472D" w:rsidRPr="005365AA" w14:paraId="153920AB" w14:textId="77777777" w:rsidTr="0752BA49">
        <w:trPr>
          <w:trHeight w:val="300"/>
        </w:trPr>
        <w:tc>
          <w:tcPr>
            <w:tcW w:w="2490" w:type="dxa"/>
          </w:tcPr>
          <w:p w14:paraId="46676C71" w14:textId="77777777" w:rsidR="0077472D" w:rsidRPr="005365AA" w:rsidRDefault="59ADF41F" w:rsidP="0752BA49">
            <w:pPr>
              <w:spacing w:after="0" w:line="240" w:lineRule="auto"/>
              <w:textAlignment w:val="baseline"/>
              <w:rPr>
                <w:rFonts w:eastAsiaTheme="minorEastAsia"/>
                <w:b/>
                <w:bCs/>
                <w:color w:val="000000"/>
                <w:sz w:val="18"/>
                <w:szCs w:val="18"/>
                <w:lang w:val="en-GB" w:eastAsia="hr-HR"/>
              </w:rPr>
            </w:pPr>
            <w:r w:rsidRPr="0752BA49">
              <w:rPr>
                <w:rFonts w:eastAsiaTheme="minorEastAsia"/>
                <w:b/>
                <w:bCs/>
                <w:color w:val="000000" w:themeColor="text1"/>
                <w:sz w:val="18"/>
                <w:szCs w:val="18"/>
                <w:lang w:val="en-GB" w:eastAsia="hr-HR"/>
              </w:rPr>
              <w:t>Pripremila/pripremio</w:t>
            </w:r>
          </w:p>
        </w:tc>
        <w:tc>
          <w:tcPr>
            <w:tcW w:w="6572" w:type="dxa"/>
          </w:tcPr>
          <w:p w14:paraId="08B7FB87" w14:textId="7C322AEF" w:rsidR="0077472D" w:rsidRPr="005365AA" w:rsidRDefault="0B15C075" w:rsidP="0752BA49">
            <w:pPr>
              <w:spacing w:after="0" w:line="240" w:lineRule="auto"/>
              <w:textAlignment w:val="baseline"/>
              <w:rPr>
                <w:rFonts w:eastAsiaTheme="minorEastAsia"/>
                <w:sz w:val="18"/>
                <w:szCs w:val="18"/>
                <w:lang w:eastAsia="hr-HR"/>
              </w:rPr>
            </w:pPr>
            <w:r w:rsidRPr="0752BA49">
              <w:rPr>
                <w:rFonts w:eastAsiaTheme="minorEastAsia"/>
                <w:sz w:val="18"/>
                <w:szCs w:val="18"/>
                <w:lang w:eastAsia="hr-HR"/>
              </w:rPr>
              <w:t>Iva Žegura</w:t>
            </w:r>
          </w:p>
        </w:tc>
      </w:tr>
      <w:tr w:rsidR="0077472D" w:rsidRPr="005365AA" w14:paraId="06174CDA" w14:textId="77777777" w:rsidTr="0752BA49">
        <w:trPr>
          <w:trHeight w:val="300"/>
        </w:trPr>
        <w:tc>
          <w:tcPr>
            <w:tcW w:w="2490" w:type="dxa"/>
            <w:hideMark/>
          </w:tcPr>
          <w:p w14:paraId="4BA7038E"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Categorisation</w:t>
            </w:r>
            <w:r w:rsidRPr="0752BA49">
              <w:rPr>
                <w:rFonts w:eastAsiaTheme="minorEastAsia"/>
                <w:b/>
                <w:bCs/>
                <w:color w:val="000000" w:themeColor="text1"/>
                <w:sz w:val="18"/>
                <w:szCs w:val="18"/>
                <w:lang w:eastAsia="hr-HR"/>
              </w:rPr>
              <w:t> </w:t>
            </w:r>
          </w:p>
          <w:p w14:paraId="61404AB5"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1 – esencijalan</w:t>
            </w:r>
          </w:p>
          <w:p w14:paraId="7A7EDFB6"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2 – koristan</w:t>
            </w:r>
          </w:p>
          <w:p w14:paraId="705940C6"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3 – potencijalno koristan</w:t>
            </w:r>
          </w:p>
          <w:p w14:paraId="2B16EF48" w14:textId="77777777" w:rsidR="0077472D" w:rsidRPr="005365AA" w:rsidRDefault="59ADF41F" w:rsidP="0752BA49">
            <w:pPr>
              <w:spacing w:after="0" w:line="240" w:lineRule="exact"/>
              <w:textAlignment w:val="baseline"/>
              <w:rPr>
                <w:rFonts w:eastAsiaTheme="minorEastAsia"/>
                <w:b/>
                <w:bCs/>
                <w:sz w:val="18"/>
                <w:szCs w:val="18"/>
                <w:lang w:eastAsia="hr-HR"/>
              </w:rPr>
            </w:pPr>
            <w:r w:rsidRPr="0752BA49">
              <w:rPr>
                <w:rFonts w:eastAsiaTheme="minorEastAsia"/>
                <w:color w:val="000000" w:themeColor="text1"/>
                <w:sz w:val="18"/>
                <w:szCs w:val="18"/>
                <w:lang w:val="en-GB" w:eastAsia="hr-HR"/>
              </w:rPr>
              <w:t>4 – ima zanimljiv dio</w:t>
            </w:r>
            <w:r w:rsidRPr="0752BA49">
              <w:rPr>
                <w:rFonts w:eastAsiaTheme="minorEastAsia"/>
                <w:b/>
                <w:bCs/>
                <w:color w:val="000000" w:themeColor="text1"/>
                <w:sz w:val="18"/>
                <w:szCs w:val="18"/>
                <w:lang w:eastAsia="hr-HR"/>
              </w:rPr>
              <w:t> </w:t>
            </w:r>
          </w:p>
        </w:tc>
        <w:tc>
          <w:tcPr>
            <w:tcW w:w="6572" w:type="dxa"/>
          </w:tcPr>
          <w:p w14:paraId="29E660AB" w14:textId="53E21A11" w:rsidR="0077472D" w:rsidRPr="005365AA" w:rsidRDefault="4495619A" w:rsidP="0752BA49">
            <w:pPr>
              <w:spacing w:after="0" w:line="240" w:lineRule="exact"/>
              <w:textAlignment w:val="baseline"/>
              <w:rPr>
                <w:rFonts w:eastAsiaTheme="minorEastAsia"/>
                <w:b/>
                <w:bCs/>
                <w:color w:val="4472C4" w:themeColor="accent1"/>
                <w:sz w:val="18"/>
                <w:szCs w:val="18"/>
                <w:lang w:eastAsia="hr-HR"/>
              </w:rPr>
            </w:pPr>
            <w:r w:rsidRPr="0752BA49">
              <w:rPr>
                <w:rFonts w:eastAsiaTheme="minorEastAsia"/>
                <w:b/>
                <w:bCs/>
                <w:color w:val="4472C4" w:themeColor="accent1"/>
                <w:sz w:val="18"/>
                <w:szCs w:val="18"/>
                <w:lang w:eastAsia="hr-HR"/>
              </w:rPr>
              <w:t>1</w:t>
            </w:r>
          </w:p>
        </w:tc>
      </w:tr>
      <w:tr w:rsidR="0077472D" w:rsidRPr="005365AA" w14:paraId="406380F6" w14:textId="77777777" w:rsidTr="0752BA49">
        <w:trPr>
          <w:trHeight w:val="300"/>
        </w:trPr>
        <w:tc>
          <w:tcPr>
            <w:tcW w:w="2490" w:type="dxa"/>
            <w:hideMark/>
          </w:tcPr>
          <w:p w14:paraId="46EBFAAC"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Sažetak (kopija)</w:t>
            </w:r>
          </w:p>
          <w:p w14:paraId="65FC6A27"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572" w:type="dxa"/>
          </w:tcPr>
          <w:p w14:paraId="1F8159EC" w14:textId="039D0D1F" w:rsidR="0077472D" w:rsidRPr="005365AA" w:rsidRDefault="7247939E" w:rsidP="0752BA49">
            <w:pPr>
              <w:spacing w:before="240" w:after="240" w:line="240" w:lineRule="auto"/>
              <w:textAlignment w:val="baseline"/>
              <w:rPr>
                <w:rFonts w:eastAsiaTheme="minorEastAsia"/>
                <w:sz w:val="18"/>
                <w:szCs w:val="18"/>
              </w:rPr>
            </w:pPr>
            <w:r w:rsidRPr="0752BA49">
              <w:rPr>
                <w:rFonts w:eastAsiaTheme="minorEastAsia"/>
                <w:sz w:val="18"/>
                <w:szCs w:val="18"/>
                <w:lang w:val="en-US"/>
              </w:rPr>
              <w:t xml:space="preserve">Objectives Knowledge of how physical activity (PA) and sport participation are related to mental health throughout adolescence is scarce. Our objective was </w:t>
            </w:r>
            <w:r w:rsidRPr="0752BA49">
              <w:rPr>
                <w:rFonts w:eastAsiaTheme="minorEastAsia"/>
                <w:sz w:val="18"/>
                <w:szCs w:val="18"/>
              </w:rPr>
              <w:t>to describe PA levels and sport participation in a population-based sample of adolescents, and to explore how they relate to mental health in different age groups. Design A population-based cross-sectional study. Setting and participants The adolescent part of the Nord-Trøndelag Health Study, a Norwegian populationbased health survey, conducted from 2006 to 2008. Of 10 464 invited participants (age 13–19 years), 7619 (73%) participated, of whom 3785 (50%) were boys. Outcome measures Mental health outcomes included psychological distress assessed using a short version of the Hopkins Symptom Check List Five items, selfesteem assessed using a short version of the Rosenberg Self-Esteem Scale and life satisfaction assessed with a single-item satisfaction with life measure. Method Logistic regression models were used to estimate the likelihood of psychological distress, low self-esteem and low life satisfaction, according to self-reported PA level and type of sport participation,</w:t>
            </w:r>
            <w:r w:rsidR="452B40D8" w:rsidRPr="0752BA49">
              <w:rPr>
                <w:rFonts w:eastAsiaTheme="minorEastAsia"/>
                <w:sz w:val="18"/>
                <w:szCs w:val="18"/>
              </w:rPr>
              <w:t xml:space="preserve"> </w:t>
            </w:r>
            <w:r w:rsidRPr="0752BA49">
              <w:rPr>
                <w:rFonts w:eastAsiaTheme="minorEastAsia"/>
                <w:sz w:val="18"/>
                <w:szCs w:val="18"/>
              </w:rPr>
              <w:t>stratified by gender and school level (junior vs senior</w:t>
            </w:r>
            <w:r w:rsidR="4261C9AD" w:rsidRPr="0752BA49">
              <w:rPr>
                <w:rFonts w:eastAsiaTheme="minorEastAsia"/>
                <w:sz w:val="18"/>
                <w:szCs w:val="18"/>
              </w:rPr>
              <w:t xml:space="preserve"> </w:t>
            </w:r>
            <w:r w:rsidRPr="0752BA49">
              <w:rPr>
                <w:rFonts w:eastAsiaTheme="minorEastAsia"/>
                <w:sz w:val="18"/>
                <w:szCs w:val="18"/>
              </w:rPr>
              <w:t>high school).</w:t>
            </w:r>
            <w:r w:rsidR="3098C468" w:rsidRPr="0752BA49">
              <w:rPr>
                <w:rFonts w:eastAsiaTheme="minorEastAsia"/>
                <w:sz w:val="18"/>
                <w:szCs w:val="18"/>
              </w:rPr>
              <w:t xml:space="preserve"> </w:t>
            </w:r>
            <w:r w:rsidRPr="0752BA49">
              <w:rPr>
                <w:rFonts w:eastAsiaTheme="minorEastAsia"/>
                <w:sz w:val="18"/>
                <w:szCs w:val="18"/>
              </w:rPr>
              <w:t>Results Fewer senior high school students</w:t>
            </w:r>
            <w:r w:rsidR="7A1427BF" w:rsidRPr="0752BA49">
              <w:rPr>
                <w:rFonts w:eastAsiaTheme="minorEastAsia"/>
                <w:sz w:val="18"/>
                <w:szCs w:val="18"/>
              </w:rPr>
              <w:t xml:space="preserve"> </w:t>
            </w:r>
            <w:r w:rsidRPr="0752BA49">
              <w:rPr>
                <w:rFonts w:eastAsiaTheme="minorEastAsia"/>
                <w:sz w:val="18"/>
                <w:szCs w:val="18"/>
              </w:rPr>
              <w:t>participated in team sports compared with junior</w:t>
            </w:r>
            <w:r w:rsidR="10CE43DA" w:rsidRPr="0752BA49">
              <w:rPr>
                <w:rFonts w:eastAsiaTheme="minorEastAsia"/>
                <w:sz w:val="18"/>
                <w:szCs w:val="18"/>
              </w:rPr>
              <w:t xml:space="preserve"> </w:t>
            </w:r>
            <w:r w:rsidRPr="0752BA49">
              <w:rPr>
                <w:rFonts w:eastAsiaTheme="minorEastAsia"/>
                <w:sz w:val="18"/>
                <w:szCs w:val="18"/>
              </w:rPr>
              <w:t>high school students (p&lt;0.001). Physically active</w:t>
            </w:r>
            <w:r w:rsidR="5827C120" w:rsidRPr="0752BA49">
              <w:rPr>
                <w:rFonts w:eastAsiaTheme="minorEastAsia"/>
                <w:sz w:val="18"/>
                <w:szCs w:val="18"/>
              </w:rPr>
              <w:t xml:space="preserve"> </w:t>
            </w:r>
            <w:r w:rsidRPr="0752BA49">
              <w:rPr>
                <w:rFonts w:eastAsiaTheme="minorEastAsia"/>
                <w:sz w:val="18"/>
                <w:szCs w:val="18"/>
              </w:rPr>
              <w:t>adolescents and participants in team sports had</w:t>
            </w:r>
            <w:r w:rsidR="4DCEFEE7" w:rsidRPr="0752BA49">
              <w:rPr>
                <w:rFonts w:eastAsiaTheme="minorEastAsia"/>
                <w:sz w:val="18"/>
                <w:szCs w:val="18"/>
              </w:rPr>
              <w:t xml:space="preserve"> </w:t>
            </w:r>
            <w:r w:rsidRPr="0752BA49">
              <w:rPr>
                <w:rFonts w:eastAsiaTheme="minorEastAsia"/>
                <w:sz w:val="18"/>
                <w:szCs w:val="18"/>
              </w:rPr>
              <w:t>higher self-esteem and life satisfaction. A high PA</w:t>
            </w:r>
            <w:r w:rsidR="0F259B55" w:rsidRPr="0752BA49">
              <w:rPr>
                <w:rFonts w:eastAsiaTheme="minorEastAsia"/>
                <w:sz w:val="18"/>
                <w:szCs w:val="18"/>
              </w:rPr>
              <w:t xml:space="preserve"> </w:t>
            </w:r>
            <w:r w:rsidRPr="0752BA49">
              <w:rPr>
                <w:rFonts w:eastAsiaTheme="minorEastAsia"/>
                <w:sz w:val="18"/>
                <w:szCs w:val="18"/>
              </w:rPr>
              <w:t>level, compared with a low PA level, was associated</w:t>
            </w:r>
            <w:r w:rsidR="5754CC73" w:rsidRPr="0752BA49">
              <w:rPr>
                <w:rFonts w:eastAsiaTheme="minorEastAsia"/>
                <w:sz w:val="18"/>
                <w:szCs w:val="18"/>
              </w:rPr>
              <w:t xml:space="preserve"> </w:t>
            </w:r>
            <w:r w:rsidRPr="0752BA49">
              <w:rPr>
                <w:rFonts w:eastAsiaTheme="minorEastAsia"/>
                <w:sz w:val="18"/>
                <w:szCs w:val="18"/>
              </w:rPr>
              <w:t>with reduced odds of psychological distress among</w:t>
            </w:r>
            <w:r w:rsidR="48ED155B" w:rsidRPr="0752BA49">
              <w:rPr>
                <w:rFonts w:eastAsiaTheme="minorEastAsia"/>
                <w:sz w:val="18"/>
                <w:szCs w:val="18"/>
              </w:rPr>
              <w:t xml:space="preserve"> </w:t>
            </w:r>
            <w:r w:rsidRPr="0752BA49">
              <w:rPr>
                <w:rFonts w:eastAsiaTheme="minorEastAsia"/>
                <w:sz w:val="18"/>
                <w:szCs w:val="18"/>
              </w:rPr>
              <w:t>senior high school students (OR 0.63, 95% CI 0.46 to</w:t>
            </w:r>
            <w:r w:rsidR="10AF037D" w:rsidRPr="0752BA49">
              <w:rPr>
                <w:rFonts w:eastAsiaTheme="minorEastAsia"/>
                <w:sz w:val="18"/>
                <w:szCs w:val="18"/>
              </w:rPr>
              <w:t xml:space="preserve"> </w:t>
            </w:r>
            <w:r w:rsidRPr="0752BA49">
              <w:rPr>
                <w:rFonts w:eastAsiaTheme="minorEastAsia"/>
                <w:sz w:val="18"/>
                <w:szCs w:val="18"/>
              </w:rPr>
              <w:t>0.86 for girls and OR 0.46, 95% CI 0.27 to 0.79 for</w:t>
            </w:r>
            <w:r w:rsidR="507A70FB" w:rsidRPr="0752BA49">
              <w:rPr>
                <w:rFonts w:eastAsiaTheme="minorEastAsia"/>
                <w:sz w:val="18"/>
                <w:szCs w:val="18"/>
              </w:rPr>
              <w:t xml:space="preserve"> </w:t>
            </w:r>
            <w:r w:rsidRPr="0752BA49">
              <w:rPr>
                <w:rFonts w:eastAsiaTheme="minorEastAsia"/>
                <w:sz w:val="18"/>
                <w:szCs w:val="18"/>
              </w:rPr>
              <w:t>boys). Team sport participation was associated with</w:t>
            </w:r>
            <w:r w:rsidR="26F65F06" w:rsidRPr="0752BA49">
              <w:rPr>
                <w:rFonts w:eastAsiaTheme="minorEastAsia"/>
                <w:sz w:val="18"/>
                <w:szCs w:val="18"/>
              </w:rPr>
              <w:t xml:space="preserve"> </w:t>
            </w:r>
            <w:r w:rsidRPr="0752BA49">
              <w:rPr>
                <w:rFonts w:eastAsiaTheme="minorEastAsia"/>
                <w:sz w:val="18"/>
                <w:szCs w:val="18"/>
              </w:rPr>
              <w:t>reduced odds of psychological distress in senior high</w:t>
            </w:r>
            <w:r w:rsidR="07CEFBBC" w:rsidRPr="0752BA49">
              <w:rPr>
                <w:rFonts w:eastAsiaTheme="minorEastAsia"/>
                <w:sz w:val="18"/>
                <w:szCs w:val="18"/>
              </w:rPr>
              <w:t xml:space="preserve"> </w:t>
            </w:r>
            <w:r w:rsidRPr="0752BA49">
              <w:rPr>
                <w:rFonts w:eastAsiaTheme="minorEastAsia"/>
                <w:sz w:val="18"/>
                <w:szCs w:val="18"/>
              </w:rPr>
              <w:t>school girls.</w:t>
            </w:r>
            <w:r w:rsidR="4EBB9E6D" w:rsidRPr="0752BA49">
              <w:rPr>
                <w:rFonts w:eastAsiaTheme="minorEastAsia"/>
                <w:sz w:val="18"/>
                <w:szCs w:val="18"/>
              </w:rPr>
              <w:t xml:space="preserve"> </w:t>
            </w:r>
            <w:r w:rsidRPr="0752BA49">
              <w:rPr>
                <w:rFonts w:eastAsiaTheme="minorEastAsia"/>
                <w:sz w:val="18"/>
                <w:szCs w:val="18"/>
              </w:rPr>
              <w:t>Conclusion A high PA level was favourably associated</w:t>
            </w:r>
            <w:r w:rsidR="0A9564F6" w:rsidRPr="0752BA49">
              <w:rPr>
                <w:rFonts w:eastAsiaTheme="minorEastAsia"/>
                <w:sz w:val="18"/>
                <w:szCs w:val="18"/>
              </w:rPr>
              <w:t xml:space="preserve"> </w:t>
            </w:r>
            <w:r w:rsidRPr="0752BA49">
              <w:rPr>
                <w:rFonts w:eastAsiaTheme="minorEastAsia"/>
                <w:sz w:val="18"/>
                <w:szCs w:val="18"/>
              </w:rPr>
              <w:t>with various dimensions of mental health, especially</w:t>
            </w:r>
            <w:r w:rsidR="1B18AC09" w:rsidRPr="0752BA49">
              <w:rPr>
                <w:rFonts w:eastAsiaTheme="minorEastAsia"/>
                <w:sz w:val="18"/>
                <w:szCs w:val="18"/>
              </w:rPr>
              <w:t xml:space="preserve"> </w:t>
            </w:r>
            <w:r w:rsidRPr="0752BA49">
              <w:rPr>
                <w:rFonts w:eastAsiaTheme="minorEastAsia"/>
                <w:sz w:val="18"/>
                <w:szCs w:val="18"/>
              </w:rPr>
              <w:t>for adolescents in senior high school. Team sport</w:t>
            </w:r>
            <w:r w:rsidR="3CE710EA" w:rsidRPr="0752BA49">
              <w:rPr>
                <w:rFonts w:eastAsiaTheme="minorEastAsia"/>
                <w:sz w:val="18"/>
                <w:szCs w:val="18"/>
              </w:rPr>
              <w:t xml:space="preserve"> </w:t>
            </w:r>
            <w:r w:rsidRPr="0752BA49">
              <w:rPr>
                <w:rFonts w:eastAsiaTheme="minorEastAsia"/>
                <w:sz w:val="18"/>
                <w:szCs w:val="18"/>
              </w:rPr>
              <w:t>participation may have a positive impact on mental</w:t>
            </w:r>
            <w:r w:rsidR="72C7F460" w:rsidRPr="0752BA49">
              <w:rPr>
                <w:rFonts w:eastAsiaTheme="minorEastAsia"/>
                <w:sz w:val="18"/>
                <w:szCs w:val="18"/>
              </w:rPr>
              <w:t xml:space="preserve"> </w:t>
            </w:r>
            <w:r w:rsidRPr="0752BA49">
              <w:rPr>
                <w:rFonts w:eastAsiaTheme="minorEastAsia"/>
                <w:sz w:val="18"/>
                <w:szCs w:val="18"/>
              </w:rPr>
              <w:t>health and should, therefore, be encouraged.</w:t>
            </w:r>
          </w:p>
        </w:tc>
      </w:tr>
      <w:tr w:rsidR="0077472D" w:rsidRPr="005365AA" w14:paraId="1FE6430B" w14:textId="77777777" w:rsidTr="0752BA49">
        <w:trPr>
          <w:trHeight w:val="300"/>
        </w:trPr>
        <w:tc>
          <w:tcPr>
            <w:tcW w:w="2490" w:type="dxa"/>
            <w:hideMark/>
          </w:tcPr>
          <w:p w14:paraId="4457291F"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Ključne riječi</w:t>
            </w:r>
          </w:p>
        </w:tc>
        <w:tc>
          <w:tcPr>
            <w:tcW w:w="6572" w:type="dxa"/>
          </w:tcPr>
          <w:p w14:paraId="5ED1563D" w14:textId="7A15B8D6" w:rsidR="0077472D" w:rsidRPr="005365AA" w:rsidRDefault="75A441DF" w:rsidP="0752BA49">
            <w:pPr>
              <w:spacing w:before="240" w:after="240" w:line="240" w:lineRule="auto"/>
              <w:textAlignment w:val="baseline"/>
              <w:rPr>
                <w:rFonts w:eastAsiaTheme="minorEastAsia"/>
                <w:sz w:val="18"/>
                <w:szCs w:val="18"/>
              </w:rPr>
            </w:pPr>
            <w:r w:rsidRPr="0752BA49">
              <w:rPr>
                <w:rFonts w:eastAsiaTheme="minorEastAsia"/>
                <w:color w:val="1F1F1F"/>
                <w:sz w:val="18"/>
                <w:szCs w:val="18"/>
                <w:lang w:val="hr"/>
              </w:rPr>
              <w:t>Tjelesna aktivnost (TA), Sudjelovanje u sportu, Adolescenti, Mentalno zdravlje, Timski sportovi</w:t>
            </w:r>
          </w:p>
        </w:tc>
      </w:tr>
      <w:tr w:rsidR="0077472D" w:rsidRPr="005365AA" w14:paraId="7E91DAA8" w14:textId="77777777" w:rsidTr="0752BA49">
        <w:trPr>
          <w:trHeight w:val="300"/>
        </w:trPr>
        <w:tc>
          <w:tcPr>
            <w:tcW w:w="2490" w:type="dxa"/>
            <w:hideMark/>
          </w:tcPr>
          <w:p w14:paraId="5FA6D183" w14:textId="77777777" w:rsidR="0077472D" w:rsidRPr="00FD688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sz w:val="18"/>
                <w:szCs w:val="18"/>
                <w:lang w:eastAsia="hr-HR"/>
              </w:rPr>
              <w:t>Kratki opis</w:t>
            </w:r>
          </w:p>
        </w:tc>
        <w:tc>
          <w:tcPr>
            <w:tcW w:w="6572" w:type="dxa"/>
          </w:tcPr>
          <w:p w14:paraId="1DC08A99" w14:textId="10FBFC85" w:rsidR="0077472D" w:rsidRPr="005365AA" w:rsidRDefault="25C42399" w:rsidP="0752BA49">
            <w:pPr>
              <w:spacing w:before="240" w:after="240" w:line="240" w:lineRule="auto"/>
              <w:textAlignment w:val="baseline"/>
              <w:rPr>
                <w:rFonts w:eastAsiaTheme="minorEastAsia"/>
                <w:sz w:val="18"/>
                <w:szCs w:val="18"/>
              </w:rPr>
            </w:pPr>
            <w:r w:rsidRPr="0752BA49">
              <w:rPr>
                <w:rFonts w:eastAsiaTheme="minorEastAsia"/>
                <w:color w:val="1F1F1F"/>
                <w:sz w:val="18"/>
                <w:szCs w:val="18"/>
                <w:lang w:val="hr"/>
              </w:rPr>
              <w:t>Ovaj rad predstavlja studiju o odnosu između tjelesne aktivnosti, sudjelovanja u sportu i mentalnog zdravlja među adolescentima, ističući dobne i spolne razlike. Studija naglašava važnost održavanja visoke razine tjelesne aktivnosti i sudjelovanja u sportu za mentalno zdravlje, posebno za djevojke koje prelaze u višu srednju školu. Intervencije bi se trebale usredotočiti na promicanje timskih sportova kako bi se poboljšali ishodi mentalnog zdravlja među adolescentima, posebno ciljajući djevojke kako bi se smanjila stopa napuštanja sporta.</w:t>
            </w:r>
          </w:p>
        </w:tc>
      </w:tr>
      <w:tr w:rsidR="0077472D" w:rsidRPr="005365AA" w14:paraId="025F0213" w14:textId="77777777" w:rsidTr="0752BA49">
        <w:trPr>
          <w:trHeight w:val="300"/>
        </w:trPr>
        <w:tc>
          <w:tcPr>
            <w:tcW w:w="2490" w:type="dxa"/>
            <w:hideMark/>
          </w:tcPr>
          <w:p w14:paraId="3C7E5F62"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Ključni nalazi</w:t>
            </w:r>
          </w:p>
          <w:p w14:paraId="571E1249"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572" w:type="dxa"/>
          </w:tcPr>
          <w:p w14:paraId="2CCC696F" w14:textId="4240CFB7" w:rsidR="0128855F" w:rsidRDefault="5DA7DFBD" w:rsidP="0752BA49">
            <w:pPr>
              <w:pStyle w:val="Odlomakpopisa"/>
              <w:numPr>
                <w:ilvl w:val="0"/>
                <w:numId w:val="7"/>
              </w:numPr>
              <w:spacing w:after="0" w:line="240" w:lineRule="auto"/>
              <w:rPr>
                <w:rFonts w:eastAsiaTheme="minorEastAsia"/>
                <w:sz w:val="18"/>
                <w:szCs w:val="18"/>
              </w:rPr>
            </w:pPr>
            <w:r w:rsidRPr="0752BA49">
              <w:rPr>
                <w:rFonts w:eastAsiaTheme="minorEastAsia"/>
                <w:color w:val="1F1F1F"/>
                <w:sz w:val="18"/>
                <w:szCs w:val="18"/>
                <w:lang w:val="hr"/>
              </w:rPr>
              <w:t>Učenici viših razreda srednje škole prijavili su niže sudjelovanje u timskim sportovima u usporedbi s učenicima nižih razreda srednje škole.</w:t>
            </w:r>
            <w:r w:rsidR="0128855F">
              <w:br/>
            </w:r>
            <w:r w:rsidR="0128855F">
              <w:br/>
            </w:r>
            <w:r w:rsidRPr="0752BA49">
              <w:rPr>
                <w:rFonts w:eastAsiaTheme="minorEastAsia"/>
                <w:color w:val="1F1F1F"/>
                <w:sz w:val="18"/>
                <w:szCs w:val="18"/>
                <w:lang w:val="hr"/>
              </w:rPr>
              <w:t>Dječaci su pokazali višu razinu tjelesne aktivnosti (TA) od djevojčica, s 45,2% dječaka i 35,4% djevojčica klasificirano kao vrlo aktivno.</w:t>
            </w:r>
            <w:r w:rsidR="0128855F">
              <w:br/>
            </w:r>
            <w:r w:rsidR="0128855F">
              <w:br/>
            </w:r>
            <w:r w:rsidRPr="0752BA49">
              <w:rPr>
                <w:rFonts w:eastAsiaTheme="minorEastAsia"/>
                <w:color w:val="1F1F1F"/>
                <w:sz w:val="18"/>
                <w:szCs w:val="18"/>
                <w:lang w:val="hr"/>
              </w:rPr>
              <w:t>Timski sportovi bili su najčešći oblik sudjelovanja, s oko 60% adolescenata koji su se bavili barem jednom tjedno.</w:t>
            </w:r>
            <w:r w:rsidR="0128855F">
              <w:br/>
            </w:r>
            <w:r w:rsidR="0128855F">
              <w:br/>
            </w:r>
            <w:r w:rsidRPr="0752BA49">
              <w:rPr>
                <w:rFonts w:eastAsiaTheme="minorEastAsia"/>
                <w:color w:val="1F1F1F"/>
                <w:sz w:val="18"/>
                <w:szCs w:val="18"/>
                <w:lang w:val="hr"/>
              </w:rPr>
              <w:t>Značajan pad TA uočen je kako su adolescenti prelazili iz nižih u više razrede srednje škole, posebno između 15. i 16. godine.</w:t>
            </w:r>
          </w:p>
          <w:p w14:paraId="37E6811A" w14:textId="39928FB6" w:rsidR="3216404C" w:rsidRDefault="5DC6A337" w:rsidP="0752BA49">
            <w:pPr>
              <w:spacing w:after="0" w:line="240" w:lineRule="auto"/>
              <w:rPr>
                <w:rFonts w:eastAsiaTheme="minorEastAsia"/>
                <w:sz w:val="18"/>
                <w:szCs w:val="18"/>
              </w:rPr>
            </w:pPr>
            <w:r w:rsidRPr="0752BA49">
              <w:rPr>
                <w:rFonts w:eastAsiaTheme="minorEastAsia"/>
                <w:color w:val="1F1F1F"/>
                <w:sz w:val="18"/>
                <w:szCs w:val="18"/>
                <w:lang w:val="hr"/>
              </w:rPr>
              <w:t>Ishodi mentalnog zdravlja:</w:t>
            </w:r>
            <w:r w:rsidR="3216404C">
              <w:br/>
            </w:r>
            <w:r w:rsidR="3216404C">
              <w:br/>
            </w:r>
            <w:r w:rsidRPr="0752BA49">
              <w:rPr>
                <w:rFonts w:eastAsiaTheme="minorEastAsia"/>
                <w:color w:val="1F1F1F"/>
                <w:sz w:val="18"/>
                <w:szCs w:val="18"/>
                <w:lang w:val="hr"/>
              </w:rPr>
              <w:t>Viša razina tjelesne aktivnosti (TA) bila je povezana s boljim ishodima mentalnog zdravlja, uključujući veće samopoštovanje i zadovoljstvo životom te nižu psihološku nelagodu.</w:t>
            </w:r>
            <w:r w:rsidR="3216404C">
              <w:br/>
            </w:r>
            <w:r w:rsidR="3216404C">
              <w:br/>
            </w:r>
            <w:r w:rsidRPr="0752BA49">
              <w:rPr>
                <w:rFonts w:eastAsiaTheme="minorEastAsia"/>
                <w:color w:val="1F1F1F"/>
                <w:sz w:val="18"/>
                <w:szCs w:val="18"/>
                <w:lang w:val="hr"/>
              </w:rPr>
              <w:t>Među učenicima viših razreda srednje škole, visoka razina TA značajno je smanjila vjerojatnost psihološke nelagode (OR 0,63 za djevojčice, OR 0,46 za dječake).</w:t>
            </w:r>
            <w:r w:rsidR="3216404C">
              <w:br/>
            </w:r>
            <w:r w:rsidR="3216404C">
              <w:br/>
            </w:r>
            <w:r w:rsidRPr="0752BA49">
              <w:rPr>
                <w:rFonts w:eastAsiaTheme="minorEastAsia"/>
                <w:color w:val="1F1F1F"/>
                <w:sz w:val="18"/>
                <w:szCs w:val="18"/>
                <w:lang w:val="hr"/>
              </w:rPr>
              <w:t>Sudjelovanje u timskim sportovima bilo je povezano sa smanjenom vjerojatnošću niskog samopoštovanja i niskog zadovoljstva životom, posebno među djevojčicama.</w:t>
            </w:r>
            <w:r w:rsidR="3216404C">
              <w:br/>
            </w:r>
            <w:r w:rsidR="3216404C">
              <w:br/>
            </w:r>
            <w:r w:rsidRPr="0752BA49">
              <w:rPr>
                <w:rFonts w:eastAsiaTheme="minorEastAsia"/>
                <w:color w:val="1F1F1F"/>
                <w:sz w:val="18"/>
                <w:szCs w:val="18"/>
                <w:lang w:val="hr"/>
              </w:rPr>
              <w:t>Razlike po spolu i dobi:</w:t>
            </w:r>
            <w:r w:rsidR="3216404C">
              <w:br/>
            </w:r>
            <w:r w:rsidR="3216404C">
              <w:br/>
            </w:r>
            <w:r w:rsidRPr="0752BA49">
              <w:rPr>
                <w:rFonts w:eastAsiaTheme="minorEastAsia"/>
                <w:color w:val="1F1F1F"/>
                <w:sz w:val="18"/>
                <w:szCs w:val="18"/>
                <w:lang w:val="hr"/>
              </w:rPr>
              <w:t>Djevojčice su prijavile više problema s mentalnim zdravljem od dječaka, s najvišom razinom psihološke nelagode pronađenom kod djevojčica viših razreda srednje škole.</w:t>
            </w:r>
            <w:r w:rsidR="3216404C">
              <w:br/>
            </w:r>
            <w:r w:rsidR="3216404C">
              <w:br/>
            </w:r>
            <w:r w:rsidRPr="0752BA49">
              <w:rPr>
                <w:rFonts w:eastAsiaTheme="minorEastAsia"/>
                <w:color w:val="1F1F1F"/>
                <w:sz w:val="18"/>
                <w:szCs w:val="18"/>
                <w:lang w:val="hr"/>
              </w:rPr>
              <w:t>Studija je istaknula da društvene koristi timskih sportova mogu biti posebno važne za starije adolescente, jer odnosi s vršnjacima postaju značajniji tijekom ove razvojne faze</w:t>
            </w:r>
            <w:r w:rsidR="2C47E6DC" w:rsidRPr="0752BA49">
              <w:rPr>
                <w:rFonts w:eastAsiaTheme="minorEastAsia"/>
                <w:color w:val="1F1F1F"/>
                <w:sz w:val="18"/>
                <w:szCs w:val="18"/>
                <w:lang w:val="hr"/>
              </w:rPr>
              <w:t xml:space="preserve"> p</w:t>
            </w:r>
            <w:r w:rsidRPr="0752BA49">
              <w:rPr>
                <w:rFonts w:eastAsiaTheme="minorEastAsia"/>
                <w:color w:val="1F1F1F"/>
                <w:sz w:val="18"/>
                <w:szCs w:val="18"/>
                <w:lang w:val="hr"/>
              </w:rPr>
              <w:t>rije završetka srednje škole.</w:t>
            </w:r>
            <w:r w:rsidR="3216404C">
              <w:br/>
            </w:r>
            <w:r w:rsidR="3216404C">
              <w:br/>
            </w:r>
            <w:r w:rsidRPr="0752BA49">
              <w:rPr>
                <w:rFonts w:eastAsiaTheme="minorEastAsia"/>
                <w:color w:val="1F1F1F"/>
                <w:sz w:val="18"/>
                <w:szCs w:val="18"/>
                <w:lang w:val="hr"/>
              </w:rPr>
              <w:t>Intervencije bi se trebale usredotočiti na promicanje timskih sportova kako bi se poboljšali ishodi mentalnog zdravlja među adolescentima, posebno ciljajući djevojčice.</w:t>
            </w:r>
          </w:p>
          <w:p w14:paraId="37B052A3" w14:textId="1AD00827" w:rsidR="0077472D" w:rsidRPr="005365AA" w:rsidRDefault="0077472D" w:rsidP="0752BA49">
            <w:pPr>
              <w:spacing w:after="0" w:line="240" w:lineRule="auto"/>
              <w:textAlignment w:val="baseline"/>
              <w:rPr>
                <w:rFonts w:eastAsiaTheme="minorEastAsia"/>
                <w:sz w:val="18"/>
                <w:szCs w:val="18"/>
                <w:lang w:eastAsia="hr-HR"/>
              </w:rPr>
            </w:pPr>
          </w:p>
        </w:tc>
      </w:tr>
      <w:tr w:rsidR="0077472D" w:rsidRPr="005365AA" w14:paraId="1E5813A1" w14:textId="77777777" w:rsidTr="0752BA49">
        <w:trPr>
          <w:trHeight w:val="300"/>
        </w:trPr>
        <w:tc>
          <w:tcPr>
            <w:tcW w:w="2490" w:type="dxa"/>
            <w:hideMark/>
          </w:tcPr>
          <w:p w14:paraId="11DF31A0"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Kako može koristiti na MentiFit projektu?</w:t>
            </w:r>
            <w:r w:rsidRPr="0752BA49">
              <w:rPr>
                <w:rFonts w:eastAsiaTheme="minorEastAsia"/>
                <w:b/>
                <w:bCs/>
                <w:color w:val="000000" w:themeColor="text1"/>
                <w:sz w:val="18"/>
                <w:szCs w:val="18"/>
                <w:lang w:eastAsia="hr-HR"/>
              </w:rPr>
              <w:t> </w:t>
            </w:r>
          </w:p>
          <w:p w14:paraId="3A7F8CBD"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eastAsia="hr-HR"/>
              </w:rPr>
              <w:t> </w:t>
            </w:r>
          </w:p>
        </w:tc>
        <w:tc>
          <w:tcPr>
            <w:tcW w:w="6572" w:type="dxa"/>
          </w:tcPr>
          <w:p w14:paraId="15E6ED55" w14:textId="02CFDD98" w:rsidR="1CA4EEDA" w:rsidRDefault="475A9F3B" w:rsidP="0752BA49">
            <w:pPr>
              <w:spacing w:before="240" w:after="240" w:line="240" w:lineRule="auto"/>
              <w:rPr>
                <w:rFonts w:eastAsiaTheme="minorEastAsia"/>
                <w:sz w:val="18"/>
                <w:szCs w:val="18"/>
              </w:rPr>
            </w:pPr>
            <w:r w:rsidRPr="0752BA49">
              <w:rPr>
                <w:rFonts w:eastAsiaTheme="minorEastAsia"/>
                <w:color w:val="1F1F1F"/>
                <w:sz w:val="18"/>
                <w:szCs w:val="18"/>
                <w:lang w:val="hr"/>
              </w:rPr>
              <w:t>Nalazi ove studije mogu se primijeniti na hrvatsku adolescentnu populaciju i projekt MentiFit na sljedeće načine:</w:t>
            </w:r>
            <w:r w:rsidR="1CA4EEDA">
              <w:br/>
            </w:r>
            <w:r w:rsidR="1CA4EEDA">
              <w:br/>
            </w:r>
            <w:r w:rsidRPr="0752BA49">
              <w:rPr>
                <w:rFonts w:eastAsiaTheme="minorEastAsia"/>
                <w:color w:val="1F1F1F"/>
                <w:sz w:val="18"/>
                <w:szCs w:val="18"/>
                <w:lang w:val="hr"/>
              </w:rPr>
              <w:t>1. Ciljanje na rodne razlike: Studija ističe da djevojke imaju manju vjerojatnost sudjelovanja u sportu, posebno timskim sportovima, u usporedbi s dječacima. Projekt MentiFit može se usredotočiti na stvaranje inicijativa koje potiču djevojke na bavljenje tjelesnim aktivnostima, posebno timskim sportovima, za koje je dokazano da imaju značajne koristi za mentalno zdravlje.</w:t>
            </w:r>
            <w:r w:rsidR="1CA4EEDA">
              <w:br/>
            </w:r>
            <w:r w:rsidR="1CA4EEDA">
              <w:br/>
            </w:r>
            <w:r w:rsidRPr="0752BA49">
              <w:rPr>
                <w:rFonts w:eastAsiaTheme="minorEastAsia"/>
                <w:color w:val="1F1F1F"/>
                <w:sz w:val="18"/>
                <w:szCs w:val="18"/>
                <w:lang w:val="hr"/>
              </w:rPr>
              <w:t>2. Rješavanje problema pada aktivnosti povezanog sa starenjem: Studija je otkrila da sudjelovanje u sportu i razina tjelesne aktivnosti opadaju kako adolescenti prelaze iz osnovne u srednju školu. Projekt MentiFit može razviti strategije za održavanje ili povećanje tjelesne aktivnosti tijekom ovog kritičnog razdoblja, kao što je ponuda raznolikih i ugodnih sportskih mogućnosti, fleksibilnih rasporeda i promicanje društvenih koristi timskih sportova.</w:t>
            </w:r>
            <w:r w:rsidR="1CA4EEDA">
              <w:br/>
            </w:r>
            <w:r w:rsidR="1CA4EEDA">
              <w:br/>
            </w:r>
            <w:r w:rsidRPr="0752BA49">
              <w:rPr>
                <w:rFonts w:eastAsiaTheme="minorEastAsia"/>
                <w:color w:val="1F1F1F"/>
                <w:sz w:val="18"/>
                <w:szCs w:val="18"/>
                <w:lang w:val="hr"/>
              </w:rPr>
              <w:t>3. Promicanje timskih sportova: Studija naglašava koristi timskih sportova za mentalno zdravlje, posebno za djevojke. Projekt MentiFit može dati prioritet timskim aktivnostima kako bi se potaknule društvene veze, poboljšalo samopoštovanje i smanjila psihološka patnja među hrvatskim adolescentima.</w:t>
            </w:r>
          </w:p>
          <w:p w14:paraId="6A1D7995" w14:textId="3CA2FE83" w:rsidR="71449CB0" w:rsidRDefault="44404758" w:rsidP="0752BA49">
            <w:pPr>
              <w:spacing w:before="240" w:after="240" w:line="240" w:lineRule="auto"/>
              <w:rPr>
                <w:rFonts w:eastAsiaTheme="minorEastAsia"/>
                <w:sz w:val="18"/>
                <w:szCs w:val="18"/>
              </w:rPr>
            </w:pPr>
            <w:r w:rsidRPr="0752BA49">
              <w:rPr>
                <w:rFonts w:eastAsiaTheme="minorEastAsia"/>
                <w:color w:val="1F1F1F"/>
                <w:sz w:val="18"/>
                <w:szCs w:val="18"/>
                <w:lang w:val="hr"/>
              </w:rPr>
              <w:t>4. Uključivanje mjera mentalnog zdravlja: Studija je koristila validirane alate za procjenu psihološke nevolje, samopoštovanja i zadovoljstva životom. Projekt MentiFit može usvojiti slične mjere za procjenu utjecaja programa tjelesne pismenosti na ishode mentalnog zdravlja kod hrvatskih adolescenata.</w:t>
            </w:r>
            <w:r w:rsidR="71449CB0">
              <w:br/>
            </w:r>
            <w:r w:rsidR="71449CB0">
              <w:br/>
            </w:r>
            <w:r w:rsidRPr="0752BA49">
              <w:rPr>
                <w:rFonts w:eastAsiaTheme="minorEastAsia"/>
                <w:color w:val="1F1F1F"/>
                <w:sz w:val="18"/>
                <w:szCs w:val="18"/>
                <w:lang w:val="hr"/>
              </w:rPr>
              <w:t>5. Osmišljavanje inkluzivnih programa: Studija sugerira da bi se intervencije trebale usredotočiti na pružanje raznih sportskih aktivnosti na različitim razinama vještina kako bi se uključilo više adolescenata. Projekt MentiFit može osigurati inkluzivnost nudeći programe koji zadovoljavaju različite interese i sposobnosti, naglašavajući uživanje i smanjujući prepreke sudjelovanju.</w:t>
            </w:r>
            <w:r w:rsidR="71449CB0">
              <w:br/>
            </w:r>
            <w:r w:rsidR="71449CB0">
              <w:br/>
            </w:r>
            <w:r w:rsidRPr="0752BA49">
              <w:rPr>
                <w:rFonts w:eastAsiaTheme="minorEastAsia"/>
                <w:color w:val="1F1F1F"/>
                <w:sz w:val="18"/>
                <w:szCs w:val="18"/>
                <w:lang w:val="hr"/>
              </w:rPr>
              <w:t>Iskorištavajući ove uvide, projekt MentiFit može učinkovito riješiti izazove smanjenja tjelesne aktivnosti i problema mentalnog zdravlja među hrvatskim adolescentima, istovremeno promičući tjelesnu pismenost i opću dobrobit.</w:t>
            </w:r>
          </w:p>
          <w:p w14:paraId="4A46EF53" w14:textId="27411429" w:rsidR="0077472D" w:rsidRPr="005365AA" w:rsidRDefault="0077472D" w:rsidP="0752BA49">
            <w:pPr>
              <w:spacing w:after="0" w:line="240" w:lineRule="auto"/>
              <w:textAlignment w:val="baseline"/>
              <w:rPr>
                <w:rFonts w:eastAsiaTheme="minorEastAsia"/>
                <w:sz w:val="18"/>
                <w:szCs w:val="18"/>
                <w:lang w:eastAsia="hr-HR"/>
              </w:rPr>
            </w:pPr>
          </w:p>
        </w:tc>
      </w:tr>
      <w:tr w:rsidR="0077472D" w:rsidRPr="005365AA" w14:paraId="75A31336" w14:textId="77777777" w:rsidTr="0752BA49">
        <w:trPr>
          <w:trHeight w:val="300"/>
        </w:trPr>
        <w:tc>
          <w:tcPr>
            <w:tcW w:w="2490" w:type="dxa"/>
            <w:hideMark/>
          </w:tcPr>
          <w:p w14:paraId="33F5BE1D" w14:textId="77777777" w:rsidR="0077472D" w:rsidRPr="005365AA" w:rsidRDefault="59ADF41F" w:rsidP="0752BA49">
            <w:pPr>
              <w:spacing w:after="0" w:line="240" w:lineRule="auto"/>
              <w:textAlignment w:val="baseline"/>
              <w:rPr>
                <w:rFonts w:eastAsiaTheme="minorEastAsia"/>
                <w:b/>
                <w:bCs/>
                <w:sz w:val="18"/>
                <w:szCs w:val="18"/>
                <w:lang w:eastAsia="hr-HR"/>
              </w:rPr>
            </w:pPr>
            <w:r w:rsidRPr="0752BA49">
              <w:rPr>
                <w:rFonts w:eastAsiaTheme="minorEastAsia"/>
                <w:b/>
                <w:bCs/>
                <w:color w:val="000000" w:themeColor="text1"/>
                <w:sz w:val="18"/>
                <w:szCs w:val="18"/>
                <w:lang w:val="en-GB" w:eastAsia="hr-HR"/>
              </w:rPr>
              <w:t>Komentar, pitanje… </w:t>
            </w:r>
            <w:r w:rsidRPr="0752BA49">
              <w:rPr>
                <w:rFonts w:eastAsiaTheme="minorEastAsia"/>
                <w:b/>
                <w:bCs/>
                <w:color w:val="000000" w:themeColor="text1"/>
                <w:sz w:val="18"/>
                <w:szCs w:val="18"/>
                <w:lang w:eastAsia="hr-HR"/>
              </w:rPr>
              <w:t> </w:t>
            </w:r>
          </w:p>
        </w:tc>
        <w:tc>
          <w:tcPr>
            <w:tcW w:w="6572" w:type="dxa"/>
          </w:tcPr>
          <w:p w14:paraId="758B21F8" w14:textId="0E5F07D2" w:rsidR="0077472D" w:rsidRPr="005365AA" w:rsidRDefault="0EB2F606" w:rsidP="0752BA49">
            <w:pPr>
              <w:spacing w:after="0" w:line="240" w:lineRule="auto"/>
              <w:textAlignment w:val="baseline"/>
              <w:rPr>
                <w:rFonts w:eastAsiaTheme="minorEastAsia"/>
                <w:sz w:val="18"/>
                <w:szCs w:val="18"/>
              </w:rPr>
            </w:pPr>
            <w:r w:rsidRPr="0752BA49">
              <w:rPr>
                <w:rFonts w:eastAsiaTheme="minorEastAsia"/>
                <w:color w:val="1F1F1F"/>
                <w:sz w:val="18"/>
                <w:szCs w:val="18"/>
                <w:lang w:val="hr"/>
              </w:rPr>
              <w:t>Veliki uzorak adolescenata s visokom stopom sudjelovanja.</w:t>
            </w:r>
            <w:r w:rsidR="2D96ECBC">
              <w:br/>
            </w:r>
            <w:r w:rsidR="2D96ECBC">
              <w:br/>
            </w:r>
            <w:r w:rsidRPr="0752BA49">
              <w:rPr>
                <w:rFonts w:eastAsiaTheme="minorEastAsia"/>
                <w:color w:val="1F1F1F"/>
                <w:sz w:val="18"/>
                <w:szCs w:val="18"/>
                <w:lang w:val="hr"/>
              </w:rPr>
              <w:t>Sveobuhvatne informacije o sudjelovanju u sportu i validirane mjere mentalnog zdravlja u svim adolescentnim dobnim skupinama.</w:t>
            </w:r>
            <w:r w:rsidR="2D96ECBC">
              <w:br/>
            </w:r>
            <w:r w:rsidR="2D96ECBC">
              <w:br/>
            </w:r>
            <w:r w:rsidRPr="0752BA49">
              <w:rPr>
                <w:rFonts w:eastAsiaTheme="minorEastAsia"/>
                <w:color w:val="1F1F1F"/>
                <w:sz w:val="18"/>
                <w:szCs w:val="18"/>
                <w:lang w:val="hr"/>
              </w:rPr>
              <w:t>Stratificirana analiza koja uzima u obzir potencijalne dobne i spolne razlike tijekom adolescencije, te prilagodbe za moguće čimbenike koji utječu na rezultate, uključujući izloženost međuljudskom nasilju (fizičko nasilje, maltretiranje i seksualno zlostavljanje).</w:t>
            </w:r>
            <w:r w:rsidR="2D96ECBC">
              <w:br/>
            </w:r>
            <w:r w:rsidR="2D96ECBC">
              <w:br/>
            </w:r>
            <w:r w:rsidRPr="0752BA49">
              <w:rPr>
                <w:rFonts w:eastAsiaTheme="minorEastAsia"/>
                <w:color w:val="1F1F1F"/>
                <w:sz w:val="18"/>
                <w:szCs w:val="18"/>
                <w:lang w:val="hr"/>
              </w:rPr>
              <w:t>Glavno ograničenje ove studije je dizajn presječne studije.</w:t>
            </w:r>
            <w:r w:rsidR="2D96ECBC">
              <w:br/>
            </w:r>
            <w:r w:rsidR="2D96ECBC">
              <w:br/>
            </w:r>
            <w:r w:rsidRPr="0752BA49">
              <w:rPr>
                <w:rFonts w:eastAsiaTheme="minorEastAsia"/>
                <w:color w:val="1F1F1F"/>
                <w:sz w:val="18"/>
                <w:szCs w:val="18"/>
                <w:lang w:val="hr"/>
              </w:rPr>
              <w:t>Mjere tjelesne aktivnosti bile su samoprocjene.</w:t>
            </w:r>
          </w:p>
        </w:tc>
      </w:tr>
    </w:tbl>
    <w:p w14:paraId="27AB66BB" w14:textId="0C250305" w:rsidR="0077472D" w:rsidRDefault="0077472D" w:rsidP="005365AA"/>
    <w:p w14:paraId="02F188CC" w14:textId="0719B382"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2"/>
        <w:gridCol w:w="6830"/>
      </w:tblGrid>
      <w:tr w:rsidR="0077472D" w:rsidRPr="005365AA" w14:paraId="0B2D1328" w14:textId="77777777" w:rsidTr="4DCF16DC">
        <w:trPr>
          <w:trHeight w:val="300"/>
        </w:trPr>
        <w:tc>
          <w:tcPr>
            <w:tcW w:w="3315" w:type="dxa"/>
            <w:hideMark/>
          </w:tcPr>
          <w:p w14:paraId="56CA5A01" w14:textId="7CAE372D"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2BEBABDD" w14:textId="489D825D" w:rsidR="0077472D" w:rsidRPr="005365AA" w:rsidRDefault="2BA8B699" w:rsidP="4DCF16DC">
            <w:pPr>
              <w:spacing w:before="240" w:after="240" w:line="240" w:lineRule="auto"/>
              <w:textAlignment w:val="baseline"/>
              <w:rPr>
                <w:rFonts w:eastAsiaTheme="minorEastAsia"/>
                <w:sz w:val="18"/>
                <w:szCs w:val="18"/>
                <w:lang w:val="en-US"/>
              </w:rPr>
            </w:pPr>
            <w:r w:rsidRPr="4DCF16DC">
              <w:rPr>
                <w:rFonts w:eastAsiaTheme="minorEastAsia"/>
                <w:sz w:val="18"/>
                <w:szCs w:val="18"/>
                <w:lang w:val="en-US"/>
              </w:rPr>
              <w:t xml:space="preserve">Melby, P. S., Elsborg, P., Bentsen, P., &amp; Nielsen, G. (2023). Cross-sectional associations between adolescents’ physical literacy, sport and exercise participation, and wellbeing. </w:t>
            </w:r>
            <w:r w:rsidRPr="4DCF16DC">
              <w:rPr>
                <w:rFonts w:eastAsiaTheme="minorEastAsia"/>
                <w:i/>
                <w:iCs/>
                <w:sz w:val="18"/>
                <w:szCs w:val="18"/>
                <w:lang w:val="en-US"/>
              </w:rPr>
              <w:t>Frontiers in Public Health, 10</w:t>
            </w:r>
            <w:r w:rsidRPr="4DCF16DC">
              <w:rPr>
                <w:rFonts w:eastAsiaTheme="minorEastAsia"/>
                <w:sz w:val="18"/>
                <w:szCs w:val="18"/>
                <w:lang w:val="en-US"/>
              </w:rPr>
              <w:t xml:space="preserve">, Article 1054482. </w:t>
            </w:r>
            <w:hyperlink r:id="rId17">
              <w:r w:rsidRPr="4DCF16DC">
                <w:rPr>
                  <w:rStyle w:val="Hiperveza"/>
                  <w:rFonts w:eastAsiaTheme="minorEastAsia"/>
                  <w:sz w:val="18"/>
                  <w:szCs w:val="18"/>
                  <w:lang w:val="en-US"/>
                </w:rPr>
                <w:t>https://doi.org/10.3389/fpubh.2022.1054482</w:t>
              </w:r>
            </w:hyperlink>
          </w:p>
        </w:tc>
      </w:tr>
      <w:tr w:rsidR="0077472D" w:rsidRPr="005365AA" w14:paraId="28B3147B" w14:textId="77777777" w:rsidTr="4DCF16DC">
        <w:trPr>
          <w:trHeight w:val="300"/>
        </w:trPr>
        <w:tc>
          <w:tcPr>
            <w:tcW w:w="3315" w:type="dxa"/>
            <w:hideMark/>
          </w:tcPr>
          <w:p w14:paraId="5B449F26"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729A68CA" w14:textId="7F528CF6" w:rsidR="0077472D" w:rsidRPr="005365AA" w:rsidRDefault="59452524" w:rsidP="4DCF16DC">
            <w:pPr>
              <w:spacing w:after="0" w:line="240" w:lineRule="auto"/>
              <w:textAlignment w:val="baseline"/>
              <w:rPr>
                <w:rFonts w:eastAsiaTheme="minorEastAsia"/>
                <w:sz w:val="18"/>
                <w:szCs w:val="18"/>
              </w:rPr>
            </w:pPr>
            <w:r w:rsidRPr="4DCF16DC">
              <w:rPr>
                <w:rFonts w:eastAsiaTheme="minorEastAsia"/>
                <w:sz w:val="18"/>
                <w:szCs w:val="18"/>
              </w:rPr>
              <w:t>https://www.frontiersin.org/articles/10.3389/fpubh.2022.1054482/full</w:t>
            </w:r>
          </w:p>
        </w:tc>
      </w:tr>
      <w:tr w:rsidR="0077472D" w:rsidRPr="005365AA" w14:paraId="5C9EEC39" w14:textId="77777777" w:rsidTr="4DCF16DC">
        <w:trPr>
          <w:trHeight w:val="300"/>
        </w:trPr>
        <w:tc>
          <w:tcPr>
            <w:tcW w:w="3315" w:type="dxa"/>
            <w:hideMark/>
          </w:tcPr>
          <w:p w14:paraId="79257956"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2DACE376" w14:textId="038B7726" w:rsidR="0077472D" w:rsidRPr="005365AA" w:rsidRDefault="568F35A7"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Physical literacy, sports and exercise, wellbeing</w:t>
            </w:r>
          </w:p>
        </w:tc>
      </w:tr>
      <w:tr w:rsidR="0077472D" w:rsidRPr="005365AA" w14:paraId="41BB2D6B" w14:textId="77777777" w:rsidTr="4DCF16DC">
        <w:trPr>
          <w:trHeight w:val="300"/>
        </w:trPr>
        <w:tc>
          <w:tcPr>
            <w:tcW w:w="3315" w:type="dxa"/>
          </w:tcPr>
          <w:p w14:paraId="57D9360D"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42FB676A" w14:textId="28705E1E" w:rsidR="0077472D" w:rsidRPr="005365AA" w:rsidRDefault="25E824A9"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Iva </w:t>
            </w:r>
            <w:r w:rsidR="31D02917" w:rsidRPr="4DCF16DC">
              <w:rPr>
                <w:rFonts w:eastAsiaTheme="minorEastAsia"/>
                <w:sz w:val="18"/>
                <w:szCs w:val="18"/>
                <w:lang w:eastAsia="hr-HR"/>
              </w:rPr>
              <w:t>Ž</w:t>
            </w:r>
            <w:r w:rsidRPr="4DCF16DC">
              <w:rPr>
                <w:rFonts w:eastAsiaTheme="minorEastAsia"/>
                <w:sz w:val="18"/>
                <w:szCs w:val="18"/>
                <w:lang w:eastAsia="hr-HR"/>
              </w:rPr>
              <w:t>egura</w:t>
            </w:r>
          </w:p>
        </w:tc>
      </w:tr>
      <w:tr w:rsidR="0077472D" w:rsidRPr="005365AA" w14:paraId="2CE4957B" w14:textId="77777777" w:rsidTr="4DCF16DC">
        <w:trPr>
          <w:trHeight w:val="300"/>
        </w:trPr>
        <w:tc>
          <w:tcPr>
            <w:tcW w:w="3315" w:type="dxa"/>
            <w:hideMark/>
          </w:tcPr>
          <w:p w14:paraId="44CA2887"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A81A7E6"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7B12E8C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1F786240"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85DE9D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75DFFC72" w14:textId="1813DA8A" w:rsidR="0077472D" w:rsidRPr="005365AA" w:rsidRDefault="75DF0803"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0077472D" w:rsidRPr="005365AA" w14:paraId="6846D91D" w14:textId="77777777" w:rsidTr="4DCF16DC">
        <w:trPr>
          <w:trHeight w:val="300"/>
        </w:trPr>
        <w:tc>
          <w:tcPr>
            <w:tcW w:w="3315" w:type="dxa"/>
            <w:hideMark/>
          </w:tcPr>
          <w:p w14:paraId="58475118"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42FEF583"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4A1D7CBA" w14:textId="78A31838" w:rsidR="0077472D" w:rsidRPr="005365AA" w:rsidRDefault="6A024976" w:rsidP="4DCF16DC">
            <w:pPr>
              <w:spacing w:before="240" w:after="240" w:line="240" w:lineRule="auto"/>
              <w:textAlignment w:val="baseline"/>
              <w:rPr>
                <w:rFonts w:eastAsiaTheme="minorEastAsia"/>
                <w:sz w:val="18"/>
                <w:szCs w:val="18"/>
              </w:rPr>
            </w:pPr>
            <w:r w:rsidRPr="4DCF16DC">
              <w:rPr>
                <w:rFonts w:eastAsiaTheme="minorEastAsia"/>
                <w:sz w:val="18"/>
                <w:szCs w:val="18"/>
                <w:lang w:val="en-US"/>
              </w:rPr>
              <w:t xml:space="preserve">Background: Adolescence is a significant period in one’s development of positive emotional and social wellbeing. Physical literacy (PL) is considered a determinant of physical health and wellbeing and is thought to be the foundation for an individual’s engagement in physical activities. Yet, limited evidence exists on PL’s association with adolescents’ health and physical activity behavior. This study aims to (1) explore the associations between Danish adolescents’ PL and their emotional and social wellbeing, (2) examine whether these associations are mediated by sport and exercise participation (SEP), and (3) consider if the associations di􀀀er across sex. Methods: Cross-sectional data from a national population survey were collected in 2020. The sample consisted of 1,518 Danish adolescents aged 13–15 years. PL was assessed with the validated MyPL questionnaire. The </w:t>
            </w:r>
            <w:r w:rsidRPr="4DCF16DC">
              <w:rPr>
                <w:rFonts w:eastAsiaTheme="minorEastAsia"/>
                <w:sz w:val="18"/>
                <w:szCs w:val="18"/>
              </w:rPr>
              <w:t>weekly time engaged in sports and exercise was self-reported. Self-esteem, life satisfaction, body satisfaction, and loneliness were measured with items from the standardized HBSC questionnaire, and a wellbeing composite score was calculated from these four measures. We constructed structural equation</w:t>
            </w:r>
            <w:r w:rsidR="3C10A226" w:rsidRPr="4DCF16DC">
              <w:rPr>
                <w:rFonts w:eastAsiaTheme="minorEastAsia"/>
                <w:sz w:val="18"/>
                <w:szCs w:val="18"/>
              </w:rPr>
              <w:t xml:space="preserve"> </w:t>
            </w:r>
            <w:r w:rsidRPr="4DCF16DC">
              <w:rPr>
                <w:rFonts w:eastAsiaTheme="minorEastAsia"/>
                <w:sz w:val="18"/>
                <w:szCs w:val="18"/>
              </w:rPr>
              <w:t>models with PL and sports and exercise participation as independent variables</w:t>
            </w:r>
            <w:r w:rsidR="54AB494B" w:rsidRPr="4DCF16DC">
              <w:rPr>
                <w:rFonts w:eastAsiaTheme="minorEastAsia"/>
                <w:sz w:val="18"/>
                <w:szCs w:val="18"/>
              </w:rPr>
              <w:t xml:space="preserve"> </w:t>
            </w:r>
            <w:r w:rsidRPr="4DCF16DC">
              <w:rPr>
                <w:rFonts w:eastAsiaTheme="minorEastAsia"/>
                <w:sz w:val="18"/>
                <w:szCs w:val="18"/>
              </w:rPr>
              <w:t>and the five aspects of wellbeing as dependent variables.</w:t>
            </w:r>
            <w:r w:rsidR="7A7F70C0" w:rsidRPr="4DCF16DC">
              <w:rPr>
                <w:rFonts w:eastAsiaTheme="minorEastAsia"/>
                <w:sz w:val="18"/>
                <w:szCs w:val="18"/>
              </w:rPr>
              <w:t xml:space="preserve"> </w:t>
            </w:r>
            <w:r w:rsidRPr="4DCF16DC">
              <w:rPr>
                <w:rFonts w:eastAsiaTheme="minorEastAsia"/>
                <w:sz w:val="18"/>
                <w:szCs w:val="18"/>
              </w:rPr>
              <w:t>Results: Positive associations were observed between PL and SEP (b = 0.33,</w:t>
            </w:r>
            <w:r w:rsidR="0178A860" w:rsidRPr="4DCF16DC">
              <w:rPr>
                <w:rFonts w:eastAsiaTheme="minorEastAsia"/>
                <w:sz w:val="18"/>
                <w:szCs w:val="18"/>
              </w:rPr>
              <w:t xml:space="preserve"> </w:t>
            </w:r>
            <w:r w:rsidRPr="4DCF16DC">
              <w:rPr>
                <w:rFonts w:eastAsiaTheme="minorEastAsia"/>
                <w:sz w:val="18"/>
                <w:szCs w:val="18"/>
              </w:rPr>
              <w:t>p &lt; 0.001) and between PL and the five aspects of wellbeing with b-values</w:t>
            </w:r>
            <w:r w:rsidR="734EE5DB" w:rsidRPr="4DCF16DC">
              <w:rPr>
                <w:rFonts w:eastAsiaTheme="minorEastAsia"/>
                <w:sz w:val="18"/>
                <w:szCs w:val="18"/>
              </w:rPr>
              <w:t xml:space="preserve"> </w:t>
            </w:r>
            <w:r w:rsidRPr="4DCF16DC">
              <w:rPr>
                <w:rFonts w:eastAsiaTheme="minorEastAsia"/>
                <w:sz w:val="18"/>
                <w:szCs w:val="18"/>
              </w:rPr>
              <w:t>between 0.19 and 0.30 (p &lt; 0.001). These associations were greater among</w:t>
            </w:r>
            <w:r w:rsidR="09846919" w:rsidRPr="4DCF16DC">
              <w:rPr>
                <w:rFonts w:eastAsiaTheme="minorEastAsia"/>
                <w:sz w:val="18"/>
                <w:szCs w:val="18"/>
              </w:rPr>
              <w:t xml:space="preserve"> </w:t>
            </w:r>
            <w:r w:rsidRPr="4DCF16DC">
              <w:rPr>
                <w:rFonts w:eastAsiaTheme="minorEastAsia"/>
                <w:sz w:val="18"/>
                <w:szCs w:val="18"/>
              </w:rPr>
              <w:t>girls. The association between PL and four of the five wellbeing outcomes were</w:t>
            </w:r>
            <w:r w:rsidR="5B43D450" w:rsidRPr="4DCF16DC">
              <w:rPr>
                <w:rFonts w:eastAsiaTheme="minorEastAsia"/>
                <w:sz w:val="18"/>
                <w:szCs w:val="18"/>
              </w:rPr>
              <w:t xml:space="preserve"> </w:t>
            </w:r>
            <w:r w:rsidRPr="4DCF16DC">
              <w:rPr>
                <w:rFonts w:eastAsiaTheme="minorEastAsia"/>
                <w:sz w:val="18"/>
                <w:szCs w:val="18"/>
              </w:rPr>
              <w:t>partly mediated by SEP with indirect e􀀀ects (b) between 0.03 and 0.05.</w:t>
            </w:r>
            <w:r w:rsidR="1C3737D4" w:rsidRPr="4DCF16DC">
              <w:rPr>
                <w:rFonts w:eastAsiaTheme="minorEastAsia"/>
                <w:sz w:val="18"/>
                <w:szCs w:val="18"/>
              </w:rPr>
              <w:t xml:space="preserve"> </w:t>
            </w:r>
            <w:r w:rsidRPr="4DCF16DC">
              <w:rPr>
                <w:rFonts w:eastAsiaTheme="minorEastAsia"/>
                <w:sz w:val="18"/>
                <w:szCs w:val="18"/>
              </w:rPr>
              <w:t>Conclusions: Results from this study support the hypotheses that</w:t>
            </w:r>
            <w:r w:rsidR="1884C095" w:rsidRPr="4DCF16DC">
              <w:rPr>
                <w:rFonts w:eastAsiaTheme="minorEastAsia"/>
                <w:sz w:val="18"/>
                <w:szCs w:val="18"/>
              </w:rPr>
              <w:t xml:space="preserve"> </w:t>
            </w:r>
            <w:r w:rsidRPr="4DCF16DC">
              <w:rPr>
                <w:rFonts w:eastAsiaTheme="minorEastAsia"/>
                <w:sz w:val="18"/>
                <w:szCs w:val="18"/>
              </w:rPr>
              <w:t>PL is important for children and adolescents’ wellbeing and physical</w:t>
            </w:r>
            <w:r w:rsidR="437A76E4" w:rsidRPr="4DCF16DC">
              <w:rPr>
                <w:rFonts w:eastAsiaTheme="minorEastAsia"/>
                <w:sz w:val="18"/>
                <w:szCs w:val="18"/>
              </w:rPr>
              <w:t xml:space="preserve"> </w:t>
            </w:r>
            <w:r w:rsidRPr="4DCF16DC">
              <w:rPr>
                <w:rFonts w:eastAsiaTheme="minorEastAsia"/>
                <w:sz w:val="18"/>
                <w:szCs w:val="18"/>
              </w:rPr>
              <w:t>activity behavior.</w:t>
            </w:r>
          </w:p>
        </w:tc>
      </w:tr>
      <w:tr w:rsidR="0077472D" w:rsidRPr="005365AA" w14:paraId="2EBA83FB" w14:textId="77777777" w:rsidTr="4DCF16DC">
        <w:trPr>
          <w:trHeight w:val="300"/>
        </w:trPr>
        <w:tc>
          <w:tcPr>
            <w:tcW w:w="3315" w:type="dxa"/>
            <w:hideMark/>
          </w:tcPr>
          <w:p w14:paraId="01041CCF"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15D1DA90" w14:textId="7CD9A77E" w:rsidR="0077472D" w:rsidRPr="005365AA" w:rsidRDefault="11B7A103" w:rsidP="4DCF16DC">
            <w:pPr>
              <w:spacing w:before="240" w:after="240" w:line="240" w:lineRule="auto"/>
              <w:textAlignment w:val="baseline"/>
              <w:rPr>
                <w:rFonts w:eastAsiaTheme="minorEastAsia"/>
                <w:sz w:val="18"/>
                <w:szCs w:val="18"/>
              </w:rPr>
            </w:pPr>
            <w:r w:rsidRPr="4DCF16DC">
              <w:rPr>
                <w:rFonts w:eastAsiaTheme="minorEastAsia"/>
                <w:color w:val="1F1F1F"/>
                <w:sz w:val="18"/>
                <w:szCs w:val="18"/>
                <w:lang w:val="hr"/>
              </w:rPr>
              <w:t>Mentalno zdravlje, SEP, mladi, kvaliteta života, djeca, tjelesna pismenost, sudjelovanje u sportu, sudjelovanje u vježbanju</w:t>
            </w:r>
          </w:p>
        </w:tc>
      </w:tr>
      <w:tr w:rsidR="0077472D" w:rsidRPr="005365AA" w14:paraId="28388661" w14:textId="77777777" w:rsidTr="4DCF16DC">
        <w:trPr>
          <w:trHeight w:val="300"/>
        </w:trPr>
        <w:tc>
          <w:tcPr>
            <w:tcW w:w="3315" w:type="dxa"/>
            <w:hideMark/>
          </w:tcPr>
          <w:p w14:paraId="446605F8"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18FFCBC2" w14:textId="40731BE8" w:rsidR="0077472D" w:rsidRPr="005365AA" w:rsidRDefault="35B01D75" w:rsidP="4DCF16DC">
            <w:pPr>
              <w:spacing w:before="240" w:after="240" w:line="240" w:lineRule="auto"/>
              <w:rPr>
                <w:rFonts w:eastAsiaTheme="minorEastAsia"/>
                <w:sz w:val="18"/>
                <w:szCs w:val="18"/>
              </w:rPr>
            </w:pPr>
            <w:r w:rsidRPr="4DCF16DC">
              <w:rPr>
                <w:rFonts w:eastAsiaTheme="minorEastAsia"/>
                <w:color w:val="1F1F1F"/>
                <w:sz w:val="18"/>
                <w:szCs w:val="18"/>
                <w:lang w:val="hr"/>
              </w:rPr>
              <w:t>Rad predstavlja originalno istraživanje koje istražuje povezanost između tjelesne pismenosti, sudjelovanja u sportskim vježbama te emocionalne i socijalne dobrobiti među danskim adolescentima u dobi od 13 do 15 godina. Ova studija istražuje povezanost između tjelesne pismenosti, sudjelovanja u sportu i vježbanju te dobrobiti među danskim adolescentima u dobi od 13 do 15 godina.</w:t>
            </w:r>
            <w:r>
              <w:br/>
            </w:r>
            <w:r>
              <w:br/>
            </w:r>
            <w:r w:rsidRPr="4DCF16DC">
              <w:rPr>
                <w:rFonts w:eastAsiaTheme="minorEastAsia"/>
                <w:color w:val="1F1F1F"/>
                <w:sz w:val="18"/>
                <w:szCs w:val="18"/>
                <w:lang w:val="hr"/>
              </w:rPr>
              <w:t>Cilj istraživanja je istražiti kako se tjelesna pismenost (TP) odnosi na emocionalnu i socijalnu dobrobit. Ispituje se posreduje li sudjelovanje u sportu i vježbanju (SEP) u tim povezanostima.  Studija također razmatra razlike u tim povezanostima između dječaka i djevojčica. Studija doprinosi razumijevanju uloge tjelesne pismenosti u zdravlju i dobrobiti adolescenata. Tjelesna pismenost pozitivno je povezana sa socijalnom i emocionalnom dobrobiti, posebno među djevojčicama.</w:t>
            </w:r>
            <w:r w:rsidR="272D8788" w:rsidRPr="4DCF16DC">
              <w:rPr>
                <w:rFonts w:eastAsiaTheme="minorEastAsia"/>
                <w:color w:val="1F1F1F"/>
                <w:sz w:val="18"/>
                <w:szCs w:val="18"/>
                <w:lang w:val="hr"/>
              </w:rPr>
              <w:t xml:space="preserve"> </w:t>
            </w:r>
            <w:r>
              <w:br/>
            </w:r>
            <w:r>
              <w:br/>
            </w:r>
            <w:r w:rsidR="4A86677F" w:rsidRPr="4DCF16DC">
              <w:rPr>
                <w:rFonts w:eastAsiaTheme="minorEastAsia"/>
                <w:color w:val="1F1F1F"/>
                <w:sz w:val="18"/>
                <w:szCs w:val="18"/>
                <w:lang w:val="hr"/>
              </w:rPr>
              <w:t>S</w:t>
            </w:r>
            <w:r w:rsidRPr="4DCF16DC">
              <w:rPr>
                <w:rFonts w:eastAsiaTheme="minorEastAsia"/>
                <w:color w:val="1F1F1F"/>
                <w:sz w:val="18"/>
                <w:szCs w:val="18"/>
                <w:lang w:val="hr"/>
              </w:rPr>
              <w:t>tudija je otkrila da tjelesna pismenost doprinosi dobrobiti izvan svoje veze s bavljenjem sportom.</w:t>
            </w:r>
            <w:r w:rsidR="25E0A92C" w:rsidRPr="4DCF16DC">
              <w:rPr>
                <w:rFonts w:eastAsiaTheme="minorEastAsia"/>
                <w:color w:val="1F1F1F"/>
                <w:sz w:val="18"/>
                <w:szCs w:val="18"/>
                <w:lang w:val="hr"/>
              </w:rPr>
              <w:t xml:space="preserve"> </w:t>
            </w:r>
            <w:r w:rsidRPr="4DCF16DC">
              <w:rPr>
                <w:rFonts w:eastAsiaTheme="minorEastAsia"/>
                <w:color w:val="1F1F1F"/>
                <w:sz w:val="18"/>
                <w:szCs w:val="18"/>
                <w:lang w:val="hr"/>
              </w:rPr>
              <w:t>Naglašavanje preduvjeta za sudjelovanje u tjelesnoj aktivnosti ključno je za poboljšanje zdravstvenih ishoda adolescenata.</w:t>
            </w:r>
          </w:p>
        </w:tc>
      </w:tr>
      <w:tr w:rsidR="0077472D" w:rsidRPr="005365AA" w14:paraId="2A6701EA" w14:textId="77777777" w:rsidTr="4DCF16DC">
        <w:trPr>
          <w:trHeight w:val="300"/>
        </w:trPr>
        <w:tc>
          <w:tcPr>
            <w:tcW w:w="3315" w:type="dxa"/>
            <w:hideMark/>
          </w:tcPr>
          <w:p w14:paraId="1B87F3D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49A2F060"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78868B50" w14:textId="72C80394" w:rsidR="60D8CC83" w:rsidRDefault="60D8CC83" w:rsidP="4DCF16DC">
            <w:pPr>
              <w:spacing w:before="240" w:after="240" w:line="240" w:lineRule="auto"/>
              <w:rPr>
                <w:rFonts w:eastAsiaTheme="minorEastAsia"/>
                <w:sz w:val="18"/>
                <w:szCs w:val="18"/>
              </w:rPr>
            </w:pPr>
            <w:r w:rsidRPr="4DCF16DC">
              <w:rPr>
                <w:rFonts w:eastAsiaTheme="minorEastAsia"/>
                <w:color w:val="1F1F1F"/>
                <w:sz w:val="18"/>
                <w:szCs w:val="18"/>
                <w:lang w:val="hr"/>
              </w:rPr>
              <w:t xml:space="preserve">Studija je pronašla značajne pozitivne povezanosti između tjelesne pismenosti i različitih aspekata dobrobiti. </w:t>
            </w:r>
            <w:r>
              <w:br/>
            </w:r>
            <w:r w:rsidRPr="4DCF16DC">
              <w:rPr>
                <w:rFonts w:eastAsiaTheme="minorEastAsia"/>
                <w:color w:val="1F1F1F"/>
                <w:sz w:val="18"/>
                <w:szCs w:val="18"/>
                <w:lang w:val="hr"/>
              </w:rPr>
              <w:t xml:space="preserve">Pozitivne povezanosti uočene su između tjelesne pismenosti i socioemocionalnog evolucionizma (b = 0,33, p &lt; 0,001). </w:t>
            </w:r>
            <w:r>
              <w:br/>
            </w:r>
            <w:r w:rsidRPr="4DCF16DC">
              <w:rPr>
                <w:rFonts w:eastAsiaTheme="minorEastAsia"/>
                <w:color w:val="1F1F1F"/>
                <w:sz w:val="18"/>
                <w:szCs w:val="18"/>
                <w:lang w:val="hr"/>
              </w:rPr>
              <w:t xml:space="preserve">Tjelokupna pismenost bila je pozitivno povezana s ishodima dobrobiti, s b-vrijednostima u rasponu od 0,19 do 0,30 (p &lt; 0,001). </w:t>
            </w:r>
            <w:r>
              <w:br/>
            </w:r>
            <w:r w:rsidRPr="4DCF16DC">
              <w:rPr>
                <w:rFonts w:eastAsiaTheme="minorEastAsia"/>
                <w:color w:val="1F1F1F"/>
                <w:sz w:val="18"/>
                <w:szCs w:val="18"/>
                <w:lang w:val="hr"/>
              </w:rPr>
              <w:t>Povezanosti su bile jače među djevojčicama u usporedbi s dječacima.</w:t>
            </w:r>
            <w:r>
              <w:br/>
            </w:r>
            <w:r w:rsidRPr="4DCF16DC">
              <w:rPr>
                <w:rFonts w:eastAsiaTheme="minorEastAsia"/>
                <w:color w:val="1F1F1F"/>
                <w:sz w:val="18"/>
                <w:szCs w:val="18"/>
                <w:lang w:val="hr"/>
              </w:rPr>
              <w:t>Posrednička uloga sudjelovanja u sportu i vježbanju:</w:t>
            </w:r>
            <w:r>
              <w:br/>
            </w:r>
            <w:r w:rsidRPr="4DCF16DC">
              <w:rPr>
                <w:rFonts w:eastAsiaTheme="minorEastAsia"/>
                <w:color w:val="1F1F1F"/>
                <w:sz w:val="18"/>
                <w:szCs w:val="18"/>
                <w:lang w:val="hr"/>
              </w:rPr>
              <w:t>Istraživanje pokazuje da sudjelovanje u sportu i vježbanju djelomično posreduje u odnosu između tjelesne pismenosti i dobrobiti.</w:t>
            </w:r>
            <w:r>
              <w:br/>
            </w:r>
            <w:r w:rsidRPr="4DCF16DC">
              <w:rPr>
                <w:rFonts w:eastAsiaTheme="minorEastAsia"/>
                <w:color w:val="1F1F1F"/>
                <w:sz w:val="18"/>
                <w:szCs w:val="18"/>
                <w:lang w:val="hr"/>
              </w:rPr>
              <w:t>Utvrđeno je da socioemocionalan evolucionizam posreduje u povezanosti između tjelesne pismenosti i ishoda dobrobiti, s neizravnim učincima u rasponu od b = 0,03 do b = 0,04 (p &lt; 0,001).</w:t>
            </w:r>
            <w:r>
              <w:br/>
            </w:r>
            <w:r w:rsidRPr="4DCF16DC">
              <w:rPr>
                <w:rFonts w:eastAsiaTheme="minorEastAsia"/>
                <w:color w:val="1F1F1F"/>
                <w:sz w:val="18"/>
                <w:szCs w:val="18"/>
                <w:lang w:val="hr"/>
              </w:rPr>
              <w:t>Socioemocionalan evolucionizam bio je povezan sa svim aspektima dobrobiti osim samopoštovanja.</w:t>
            </w:r>
            <w:r>
              <w:br/>
            </w:r>
            <w:r w:rsidRPr="4DCF16DC">
              <w:rPr>
                <w:rFonts w:eastAsiaTheme="minorEastAsia"/>
                <w:color w:val="1F1F1F"/>
                <w:sz w:val="18"/>
                <w:szCs w:val="18"/>
                <w:lang w:val="hr"/>
              </w:rPr>
              <w:t>Spolne razlike u povezanosti</w:t>
            </w:r>
            <w:r w:rsidR="40F74A9A" w:rsidRPr="4DCF16DC">
              <w:rPr>
                <w:rFonts w:eastAsiaTheme="minorEastAsia"/>
                <w:color w:val="1F1F1F"/>
                <w:sz w:val="18"/>
                <w:szCs w:val="18"/>
                <w:lang w:val="hr"/>
              </w:rPr>
              <w:t>:</w:t>
            </w:r>
            <w:r>
              <w:br/>
            </w:r>
            <w:r w:rsidRPr="4DCF16DC">
              <w:rPr>
                <w:rFonts w:eastAsiaTheme="minorEastAsia"/>
                <w:color w:val="1F1F1F"/>
                <w:sz w:val="18"/>
                <w:szCs w:val="18"/>
                <w:lang w:val="hr"/>
              </w:rPr>
              <w:t>Studija ističe značajne razlike u povezanosti između dječaka i djevojčica.</w:t>
            </w:r>
            <w:r>
              <w:br/>
            </w:r>
            <w:r w:rsidRPr="4DCF16DC">
              <w:rPr>
                <w:rFonts w:eastAsiaTheme="minorEastAsia"/>
                <w:color w:val="1F1F1F"/>
                <w:sz w:val="18"/>
                <w:szCs w:val="18"/>
                <w:lang w:val="hr"/>
              </w:rPr>
              <w:t>Djevojke su pokazale jače povezanosti između emocionalne i socijalne dobrobiti, s b-vrijednostima u rasponu od 0,27 do 0,36.</w:t>
            </w:r>
            <w:r>
              <w:br/>
            </w:r>
            <w:r w:rsidRPr="4DCF16DC">
              <w:rPr>
                <w:rFonts w:eastAsiaTheme="minorEastAsia"/>
                <w:color w:val="1F1F1F"/>
                <w:sz w:val="18"/>
                <w:szCs w:val="18"/>
                <w:lang w:val="hr"/>
              </w:rPr>
              <w:t>Dječaci su pokazali značajne povezanosti između socioemocionalnog potencijala i dobrobiti, ali ne i sa samopoštovanjem.</w:t>
            </w:r>
            <w:r>
              <w:br/>
            </w:r>
            <w:r w:rsidRPr="4DCF16DC">
              <w:rPr>
                <w:rFonts w:eastAsiaTheme="minorEastAsia"/>
                <w:color w:val="1F1F1F"/>
                <w:sz w:val="18"/>
                <w:szCs w:val="18"/>
                <w:lang w:val="hr"/>
              </w:rPr>
              <w:t>Nalazi sugeriraju da je emocionalna i socijalna dobrobit djevojčica važnija nego dječaka.</w:t>
            </w:r>
          </w:p>
          <w:p w14:paraId="0AEC6839" w14:textId="5FEFCC99" w:rsidR="0077472D" w:rsidRPr="005365AA" w:rsidRDefault="0077472D" w:rsidP="4DCF16DC">
            <w:pPr>
              <w:spacing w:after="0" w:line="240" w:lineRule="auto"/>
              <w:textAlignment w:val="baseline"/>
              <w:rPr>
                <w:rFonts w:eastAsiaTheme="minorEastAsia"/>
                <w:sz w:val="18"/>
                <w:szCs w:val="18"/>
                <w:lang w:eastAsia="hr-HR"/>
              </w:rPr>
            </w:pPr>
          </w:p>
        </w:tc>
      </w:tr>
      <w:tr w:rsidR="0077472D" w:rsidRPr="005365AA" w14:paraId="7D7D5008" w14:textId="77777777" w:rsidTr="4DCF16DC">
        <w:trPr>
          <w:trHeight w:val="300"/>
        </w:trPr>
        <w:tc>
          <w:tcPr>
            <w:tcW w:w="3315" w:type="dxa"/>
            <w:hideMark/>
          </w:tcPr>
          <w:p w14:paraId="4CC1321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2AAC8703"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093940FD" w14:textId="1A1F6849" w:rsidR="1509205A" w:rsidRDefault="1509205A" w:rsidP="4DCF16DC">
            <w:pPr>
              <w:spacing w:after="0" w:line="240" w:lineRule="auto"/>
              <w:rPr>
                <w:rFonts w:eastAsiaTheme="minorEastAsia"/>
                <w:sz w:val="18"/>
                <w:szCs w:val="18"/>
              </w:rPr>
            </w:pPr>
            <w:r w:rsidRPr="4DCF16DC">
              <w:rPr>
                <w:rFonts w:eastAsiaTheme="minorEastAsia"/>
                <w:color w:val="1F1F1F"/>
                <w:sz w:val="18"/>
                <w:szCs w:val="18"/>
                <w:lang w:val="hr"/>
              </w:rPr>
              <w:t>Ova studija istražuje odnos između tjelesne pismenosti (TP), praksi bavljenja sportom (SEP) i emocionalne i socijalne dobrobiti adolescenata.</w:t>
            </w:r>
            <w:r>
              <w:br/>
            </w:r>
            <w:r>
              <w:br/>
            </w:r>
            <w:r w:rsidRPr="4DCF16DC">
              <w:rPr>
                <w:rFonts w:eastAsiaTheme="minorEastAsia"/>
                <w:color w:val="1F1F1F"/>
                <w:sz w:val="18"/>
                <w:szCs w:val="18"/>
                <w:lang w:val="hr"/>
              </w:rPr>
              <w:t>Niska tjelesna pismenost povezana je s frustracijom kompetencija, što negativno utječe na dobrobit.</w:t>
            </w:r>
            <w:r>
              <w:br/>
            </w:r>
            <w:r w:rsidRPr="4DCF16DC">
              <w:rPr>
                <w:rFonts w:eastAsiaTheme="minorEastAsia"/>
                <w:color w:val="1F1F1F"/>
                <w:sz w:val="18"/>
                <w:szCs w:val="18"/>
                <w:lang w:val="hr"/>
              </w:rPr>
              <w:t>Bavljenje sportom mora poticati osnovne psihološke potrebe kako bi se poboljšala ukupna dobrobit.</w:t>
            </w:r>
            <w:r>
              <w:br/>
            </w:r>
            <w:r w:rsidRPr="4DCF16DC">
              <w:rPr>
                <w:rFonts w:eastAsiaTheme="minorEastAsia"/>
                <w:color w:val="1F1F1F"/>
                <w:sz w:val="18"/>
                <w:szCs w:val="18"/>
                <w:lang w:val="hr"/>
              </w:rPr>
              <w:t>Mješoviti učinci sportskih intervencija na mentalno zdravlje ističu važnost načina na koji se aktivnosti provode.</w:t>
            </w:r>
            <w:r>
              <w:br/>
            </w:r>
            <w:r w:rsidRPr="4DCF16DC">
              <w:rPr>
                <w:rFonts w:eastAsiaTheme="minorEastAsia"/>
                <w:color w:val="1F1F1F"/>
                <w:sz w:val="18"/>
                <w:szCs w:val="18"/>
                <w:lang w:val="hr"/>
              </w:rPr>
              <w:t>Studija je pokazala da dječja percepcija osnovnih psiholoških potreba u tjelesnoj aktivnosti posreduje u odnosu između razine tjelesne aktivnosti i ukupne dobrobiti.</w:t>
            </w:r>
            <w:r w:rsidR="6601162F" w:rsidRPr="4DCF16DC">
              <w:rPr>
                <w:rFonts w:eastAsiaTheme="minorEastAsia"/>
                <w:color w:val="1F1F1F"/>
                <w:sz w:val="18"/>
                <w:szCs w:val="18"/>
                <w:lang w:val="hr"/>
              </w:rPr>
              <w:t>Implikacije za praksu i politiku:</w:t>
            </w:r>
            <w:r>
              <w:br/>
            </w:r>
            <w:r w:rsidR="6601162F" w:rsidRPr="4DCF16DC">
              <w:rPr>
                <w:rFonts w:eastAsiaTheme="minorEastAsia"/>
                <w:color w:val="1F1F1F"/>
                <w:sz w:val="18"/>
                <w:szCs w:val="18"/>
                <w:lang w:val="hr"/>
              </w:rPr>
              <w:t>Nalazi ukazuju na pomak fokusa prema razvoju tjelesne pismenosti kao preduvjeta za sudjelovanje u tjelesnoj aktivnosti.</w:t>
            </w:r>
            <w:r>
              <w:br/>
            </w:r>
            <w:r w:rsidR="6601162F" w:rsidRPr="4DCF16DC">
              <w:rPr>
                <w:rFonts w:eastAsiaTheme="minorEastAsia"/>
                <w:color w:val="1F1F1F"/>
                <w:sz w:val="18"/>
                <w:szCs w:val="18"/>
                <w:lang w:val="hr"/>
              </w:rPr>
              <w:t>Naglašavanje razvoja elemenata tjelesne pismenosti ključno je za dugoročne zdravstvene koristi.</w:t>
            </w:r>
            <w:r>
              <w:br/>
            </w:r>
            <w:r w:rsidR="6601162F" w:rsidRPr="4DCF16DC">
              <w:rPr>
                <w:rFonts w:eastAsiaTheme="minorEastAsia"/>
                <w:color w:val="1F1F1F"/>
                <w:sz w:val="18"/>
                <w:szCs w:val="18"/>
                <w:lang w:val="hr"/>
              </w:rPr>
              <w:t>Učitelji tjelesnog odgoja, treneri i roditelji trebali bi stvoriti podržavajuća okruženja koja potiču autonomiju i kompetenciju.</w:t>
            </w:r>
            <w:r>
              <w:br/>
            </w:r>
            <w:r>
              <w:br/>
            </w:r>
            <w:r w:rsidR="6601162F" w:rsidRPr="4DCF16DC">
              <w:rPr>
                <w:rFonts w:eastAsiaTheme="minorEastAsia"/>
                <w:color w:val="1F1F1F"/>
                <w:sz w:val="18"/>
                <w:szCs w:val="18"/>
                <w:lang w:val="hr"/>
              </w:rPr>
              <w:t>Preporuke politika trebale bi uključivati ​​perspektivu tjelesne pismenosti uz nacionalne smjernice za tjelesnu aktivnost.</w:t>
            </w:r>
          </w:p>
          <w:p w14:paraId="37C436F6" w14:textId="4A28453B" w:rsidR="0077472D" w:rsidRPr="005365AA" w:rsidRDefault="0077472D" w:rsidP="4DCF16DC">
            <w:pPr>
              <w:spacing w:after="0" w:line="240" w:lineRule="auto"/>
              <w:textAlignment w:val="baseline"/>
              <w:rPr>
                <w:rFonts w:eastAsiaTheme="minorEastAsia"/>
                <w:sz w:val="18"/>
                <w:szCs w:val="18"/>
                <w:lang w:eastAsia="hr-HR"/>
              </w:rPr>
            </w:pPr>
          </w:p>
        </w:tc>
      </w:tr>
      <w:tr w:rsidR="0077472D" w:rsidRPr="005365AA" w14:paraId="07518F85" w14:textId="77777777" w:rsidTr="4DCF16DC">
        <w:trPr>
          <w:trHeight w:val="300"/>
        </w:trPr>
        <w:tc>
          <w:tcPr>
            <w:tcW w:w="3315" w:type="dxa"/>
            <w:hideMark/>
          </w:tcPr>
          <w:p w14:paraId="4B744CD9"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7B3F2AD7" w14:textId="31E7AD43" w:rsidR="16DE1A0B" w:rsidRDefault="16DE1A0B" w:rsidP="4DCF16DC">
            <w:pPr>
              <w:spacing w:after="0" w:line="240" w:lineRule="auto"/>
              <w:rPr>
                <w:rFonts w:eastAsiaTheme="minorEastAsia"/>
                <w:sz w:val="18"/>
                <w:szCs w:val="18"/>
              </w:rPr>
            </w:pPr>
            <w:r w:rsidRPr="4DCF16DC">
              <w:rPr>
                <w:rFonts w:eastAsiaTheme="minorEastAsia"/>
                <w:color w:val="1F1F1F"/>
                <w:sz w:val="18"/>
                <w:szCs w:val="18"/>
                <w:lang w:val="hr"/>
              </w:rPr>
              <w:t>Snage studije uključuju veliki, nasumično odabrani uzorak, dok ograničenja uključuju socioekonomski status i pouzdanost mjerenja.</w:t>
            </w:r>
            <w:r>
              <w:br/>
            </w:r>
            <w:r w:rsidRPr="4DCF16DC">
              <w:rPr>
                <w:rFonts w:eastAsiaTheme="minorEastAsia"/>
                <w:color w:val="1F1F1F"/>
                <w:sz w:val="18"/>
                <w:szCs w:val="18"/>
                <w:lang w:val="hr"/>
              </w:rPr>
              <w:t>Veliki uzorak povećava pouzdanost nalaza.</w:t>
            </w:r>
            <w:r>
              <w:br/>
            </w:r>
            <w:r w:rsidRPr="4DCF16DC">
              <w:rPr>
                <w:rFonts w:eastAsiaTheme="minorEastAsia"/>
                <w:color w:val="1F1F1F"/>
                <w:sz w:val="18"/>
                <w:szCs w:val="18"/>
                <w:lang w:val="hr"/>
              </w:rPr>
              <w:t>Ograničenja uključuju nemogućnost kontrole socioekonomskog statusa, koji je značajan za zdravstvene ishode.</w:t>
            </w:r>
            <w:r>
              <w:br/>
            </w:r>
            <w:r w:rsidRPr="4DCF16DC">
              <w:rPr>
                <w:rFonts w:eastAsiaTheme="minorEastAsia"/>
                <w:color w:val="1F1F1F"/>
                <w:sz w:val="18"/>
                <w:szCs w:val="18"/>
                <w:lang w:val="hr"/>
              </w:rPr>
              <w:t>Pojedinačni pokazatelji za aspekte dobrobiti mogu smanjiti pouzdanost u usporedbi s mjerama s više stavki.</w:t>
            </w:r>
            <w:r>
              <w:br/>
            </w:r>
            <w:r w:rsidRPr="4DCF16DC">
              <w:rPr>
                <w:rFonts w:eastAsiaTheme="minorEastAsia"/>
                <w:color w:val="1F1F1F"/>
                <w:sz w:val="18"/>
                <w:szCs w:val="18"/>
                <w:lang w:val="hr"/>
              </w:rPr>
              <w:t>Samoprocjena mjera može biti nedovoljno objektivna, a presječni dizajn ograničava uzročne tvrdnje.</w:t>
            </w:r>
          </w:p>
          <w:p w14:paraId="47B50A1B" w14:textId="3B3EE69E" w:rsidR="0077472D" w:rsidRPr="005365AA" w:rsidRDefault="0077472D" w:rsidP="4DCF16DC">
            <w:pPr>
              <w:spacing w:after="0" w:line="240" w:lineRule="auto"/>
              <w:textAlignment w:val="baseline"/>
              <w:rPr>
                <w:rFonts w:eastAsiaTheme="minorEastAsia"/>
                <w:sz w:val="18"/>
                <w:szCs w:val="18"/>
                <w:lang w:eastAsia="hr-HR"/>
              </w:rPr>
            </w:pPr>
          </w:p>
        </w:tc>
      </w:tr>
    </w:tbl>
    <w:p w14:paraId="00083AF4" w14:textId="5EFB8F65" w:rsidR="0077472D" w:rsidRDefault="0077472D" w:rsidP="005365AA"/>
    <w:p w14:paraId="73B90ABA" w14:textId="1CDD7723"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3"/>
        <w:gridCol w:w="6479"/>
      </w:tblGrid>
      <w:tr w:rsidR="0077472D" w:rsidRPr="005365AA" w14:paraId="5236C527" w14:textId="77777777" w:rsidTr="4DCF16DC">
        <w:trPr>
          <w:trHeight w:val="300"/>
        </w:trPr>
        <w:tc>
          <w:tcPr>
            <w:tcW w:w="3315" w:type="dxa"/>
            <w:hideMark/>
          </w:tcPr>
          <w:p w14:paraId="0E3CC2BC" w14:textId="13F508B1"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4C076191" w14:textId="42C1FC74" w:rsidR="0077472D" w:rsidRPr="005365AA" w:rsidRDefault="7294EC0D" w:rsidP="4DCF16DC">
            <w:pPr>
              <w:spacing w:before="240" w:after="240" w:line="240" w:lineRule="auto"/>
              <w:textAlignment w:val="baseline"/>
              <w:rPr>
                <w:rFonts w:eastAsiaTheme="minorEastAsia"/>
                <w:sz w:val="18"/>
                <w:szCs w:val="18"/>
                <w:lang w:val="en-US"/>
              </w:rPr>
            </w:pPr>
            <w:r w:rsidRPr="4DCF16DC">
              <w:rPr>
                <w:rFonts w:eastAsiaTheme="minorEastAsia"/>
                <w:sz w:val="18"/>
                <w:szCs w:val="18"/>
                <w:lang w:val="en-US"/>
              </w:rPr>
              <w:t xml:space="preserve">Cowley, J. G., McIntosh, I., Kiely, J., &amp; Collins, D. J. (2021). </w:t>
            </w:r>
            <w:r w:rsidRPr="4DCF16DC">
              <w:rPr>
                <w:rFonts w:eastAsiaTheme="minorEastAsia"/>
                <w:i/>
                <w:iCs/>
                <w:sz w:val="18"/>
                <w:szCs w:val="18"/>
                <w:lang w:val="en-US"/>
              </w:rPr>
              <w:t>The post 16 gap: How do young people conceptualise PE? An exploration of the barriers to participation in physical education, physical activity and sport in senior school pupils.</w:t>
            </w:r>
            <w:r w:rsidRPr="4DCF16DC">
              <w:rPr>
                <w:rFonts w:eastAsiaTheme="minorEastAsia"/>
                <w:sz w:val="18"/>
                <w:szCs w:val="18"/>
                <w:lang w:val="en-US"/>
              </w:rPr>
              <w:t xml:space="preserve"> International Journal of Adolescent Medicine and Health, 33(6), 313–321. </w:t>
            </w:r>
            <w:hyperlink r:id="rId18">
              <w:r w:rsidRPr="4DCF16DC">
                <w:rPr>
                  <w:rStyle w:val="Hiperveza"/>
                  <w:rFonts w:eastAsiaTheme="minorEastAsia"/>
                  <w:sz w:val="18"/>
                  <w:szCs w:val="18"/>
                  <w:lang w:val="en-US"/>
                </w:rPr>
                <w:t>https://doi.org/10.1515/ijamh-2021-0003</w:t>
              </w:r>
            </w:hyperlink>
          </w:p>
        </w:tc>
      </w:tr>
      <w:tr w:rsidR="0077472D" w:rsidRPr="005365AA" w14:paraId="048AC1BA" w14:textId="77777777" w:rsidTr="4DCF16DC">
        <w:trPr>
          <w:trHeight w:val="300"/>
        </w:trPr>
        <w:tc>
          <w:tcPr>
            <w:tcW w:w="3315" w:type="dxa"/>
            <w:hideMark/>
          </w:tcPr>
          <w:p w14:paraId="1A363BF7"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2DA7418E" w14:textId="0F36C21C" w:rsidR="0077472D" w:rsidRPr="005365AA" w:rsidRDefault="20D0ED40" w:rsidP="4DCF16DC">
            <w:pPr>
              <w:spacing w:after="0" w:line="240" w:lineRule="auto"/>
              <w:textAlignment w:val="baseline"/>
              <w:rPr>
                <w:rFonts w:eastAsiaTheme="minorEastAsia"/>
                <w:sz w:val="18"/>
                <w:szCs w:val="18"/>
              </w:rPr>
            </w:pPr>
            <w:r w:rsidRPr="4DCF16DC">
              <w:rPr>
                <w:rFonts w:eastAsiaTheme="minorEastAsia"/>
                <w:sz w:val="18"/>
                <w:szCs w:val="18"/>
              </w:rPr>
              <w:t xml:space="preserve"> https://doi.org/10.1515/ijamh-2021-0003</w:t>
            </w:r>
          </w:p>
        </w:tc>
      </w:tr>
      <w:tr w:rsidR="0077472D" w:rsidRPr="005365AA" w14:paraId="729CE4A6" w14:textId="77777777" w:rsidTr="4DCF16DC">
        <w:trPr>
          <w:trHeight w:val="300"/>
        </w:trPr>
        <w:tc>
          <w:tcPr>
            <w:tcW w:w="3315" w:type="dxa"/>
            <w:hideMark/>
          </w:tcPr>
          <w:p w14:paraId="5A36A794"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7DC7BCA4" w14:textId="652AF940" w:rsidR="0077472D" w:rsidRPr="005365AA" w:rsidRDefault="6325CF96"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Physical eucation, physical activity</w:t>
            </w:r>
          </w:p>
        </w:tc>
      </w:tr>
      <w:tr w:rsidR="0077472D" w:rsidRPr="005365AA" w14:paraId="4A4D178E" w14:textId="77777777" w:rsidTr="4DCF16DC">
        <w:trPr>
          <w:trHeight w:val="300"/>
        </w:trPr>
        <w:tc>
          <w:tcPr>
            <w:tcW w:w="3315" w:type="dxa"/>
          </w:tcPr>
          <w:p w14:paraId="07FCA4ED"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024FCBE1" w14:textId="5056365B" w:rsidR="0077472D" w:rsidRPr="005365AA" w:rsidRDefault="5E2AFD83"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Iva Žegura</w:t>
            </w:r>
          </w:p>
        </w:tc>
      </w:tr>
      <w:tr w:rsidR="0077472D" w:rsidRPr="005365AA" w14:paraId="03C747C1" w14:textId="77777777" w:rsidTr="4DCF16DC">
        <w:trPr>
          <w:trHeight w:val="300"/>
        </w:trPr>
        <w:tc>
          <w:tcPr>
            <w:tcW w:w="3315" w:type="dxa"/>
            <w:hideMark/>
          </w:tcPr>
          <w:p w14:paraId="0A8D91DC"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74216548"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0377C7C"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BAF684E"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03414837"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7A7C0B37" w14:textId="17D85140" w:rsidR="0077472D" w:rsidRPr="005365AA" w:rsidRDefault="50C7042A"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0077472D" w:rsidRPr="005365AA" w14:paraId="2362488D" w14:textId="77777777" w:rsidTr="4DCF16DC">
        <w:trPr>
          <w:trHeight w:val="300"/>
        </w:trPr>
        <w:tc>
          <w:tcPr>
            <w:tcW w:w="3315" w:type="dxa"/>
            <w:hideMark/>
          </w:tcPr>
          <w:p w14:paraId="0F186A98"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36BDF487"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305AB86F" w14:textId="4C4E65DA" w:rsidR="0077472D" w:rsidRPr="005365AA" w:rsidRDefault="41241410" w:rsidP="4DCF16DC">
            <w:pPr>
              <w:spacing w:before="240" w:after="240" w:line="240" w:lineRule="auto"/>
              <w:textAlignment w:val="baseline"/>
              <w:rPr>
                <w:rFonts w:eastAsiaTheme="minorEastAsia"/>
                <w:sz w:val="18"/>
                <w:szCs w:val="18"/>
                <w:lang w:val="en-US"/>
              </w:rPr>
            </w:pPr>
            <w:r w:rsidRPr="4DCF16DC">
              <w:rPr>
                <w:rFonts w:eastAsiaTheme="minorEastAsia"/>
                <w:sz w:val="18"/>
                <w:szCs w:val="18"/>
                <w:lang w:val="en-US"/>
              </w:rPr>
              <w:t xml:space="preserve">Previous studies have identified several key barriers to Physical Education, Physical activity </w:t>
            </w:r>
            <w:r w:rsidRPr="4DCF16DC">
              <w:rPr>
                <w:rFonts w:eastAsiaTheme="minorEastAsia"/>
                <w:sz w:val="18"/>
                <w:szCs w:val="18"/>
              </w:rPr>
              <w:t>and Sport (PEPAS). However, there is a paucity of qualitative evidence investigating why young people do and do not participate in PA and the relationship between their levels of participation at different stages of life. This study builds on a previous study and aims to investigate the barriers to PEPAS in adolescents at transition stage. The extant literature highlights that instilling regular PA throughout life strongly relies on developing physical  literacy through participation in high quality physical education. Despite the understanding of the importance of high quality physical education, there is an over emphasis on the short term outcomes of physical education (PE) sessions which have been noted to overemphasise immediate physical activity rather than focus on educational outcomes important to physical</w:t>
            </w:r>
            <w:r w:rsidR="12B2FCC4" w:rsidRPr="4DCF16DC">
              <w:rPr>
                <w:rFonts w:eastAsiaTheme="minorEastAsia"/>
                <w:sz w:val="18"/>
                <w:szCs w:val="18"/>
              </w:rPr>
              <w:t xml:space="preserve"> </w:t>
            </w:r>
            <w:r w:rsidRPr="4DCF16DC">
              <w:rPr>
                <w:rFonts w:eastAsiaTheme="minorEastAsia"/>
                <w:sz w:val="18"/>
                <w:szCs w:val="18"/>
              </w:rPr>
              <w:t>literacy. Anecdotally, the recent Covid 19 Global pandemic and subsequent lockdown has</w:t>
            </w:r>
            <w:r w:rsidR="4702A565" w:rsidRPr="4DCF16DC">
              <w:rPr>
                <w:rFonts w:eastAsiaTheme="minorEastAsia"/>
                <w:sz w:val="18"/>
                <w:szCs w:val="18"/>
              </w:rPr>
              <w:t xml:space="preserve"> </w:t>
            </w:r>
            <w:r w:rsidRPr="4DCF16DC">
              <w:rPr>
                <w:rFonts w:eastAsiaTheme="minorEastAsia"/>
                <w:sz w:val="18"/>
                <w:szCs w:val="18"/>
              </w:rPr>
              <w:t>resulted in a digitalisation of PE in schools and a subsequent reliance of PA programmes</w:t>
            </w:r>
            <w:r w:rsidR="2C39EF25" w:rsidRPr="4DCF16DC">
              <w:rPr>
                <w:rFonts w:eastAsiaTheme="minorEastAsia"/>
                <w:sz w:val="18"/>
                <w:szCs w:val="18"/>
              </w:rPr>
              <w:t xml:space="preserve"> </w:t>
            </w:r>
            <w:r w:rsidRPr="4DCF16DC">
              <w:rPr>
                <w:rFonts w:eastAsiaTheme="minorEastAsia"/>
                <w:sz w:val="18"/>
                <w:szCs w:val="18"/>
              </w:rPr>
              <w:t xml:space="preserve"> based on adult fitness classes, which may not necessarily be categorised as PE in its true</w:t>
            </w:r>
            <w:r w:rsidR="553440B9" w:rsidRPr="4DCF16DC">
              <w:rPr>
                <w:rFonts w:eastAsiaTheme="minorEastAsia"/>
                <w:sz w:val="18"/>
                <w:szCs w:val="18"/>
              </w:rPr>
              <w:t xml:space="preserve"> </w:t>
            </w:r>
            <w:r w:rsidRPr="4DCF16DC">
              <w:rPr>
                <w:rFonts w:eastAsiaTheme="minorEastAsia"/>
                <w:sz w:val="18"/>
                <w:szCs w:val="18"/>
              </w:rPr>
              <w:t>sense.</w:t>
            </w:r>
            <w:r w:rsidR="3500174F" w:rsidRPr="4DCF16DC">
              <w:rPr>
                <w:rFonts w:eastAsiaTheme="minorEastAsia"/>
                <w:sz w:val="18"/>
                <w:szCs w:val="18"/>
              </w:rPr>
              <w:t xml:space="preserve"> </w:t>
            </w:r>
            <w:r w:rsidRPr="4DCF16DC">
              <w:rPr>
                <w:rFonts w:eastAsiaTheme="minorEastAsia"/>
                <w:sz w:val="18"/>
                <w:szCs w:val="18"/>
              </w:rPr>
              <w:t>Methods: Twenty-four respondents aged 16-19 were divided into five focus groups. Data</w:t>
            </w:r>
            <w:r w:rsidR="5F9470C0" w:rsidRPr="4DCF16DC">
              <w:rPr>
                <w:rFonts w:eastAsiaTheme="minorEastAsia"/>
                <w:sz w:val="18"/>
                <w:szCs w:val="18"/>
              </w:rPr>
              <w:t xml:space="preserve"> </w:t>
            </w:r>
            <w:r w:rsidRPr="4DCF16DC">
              <w:rPr>
                <w:rFonts w:eastAsiaTheme="minorEastAsia"/>
                <w:sz w:val="18"/>
                <w:szCs w:val="18"/>
              </w:rPr>
              <w:t>were analysed verbatim using NVivo following the guidelines by Braun and Clark (2006) on</w:t>
            </w:r>
            <w:r w:rsidR="3748CAC0" w:rsidRPr="4DCF16DC">
              <w:rPr>
                <w:rFonts w:eastAsiaTheme="minorEastAsia"/>
                <w:sz w:val="18"/>
                <w:szCs w:val="18"/>
              </w:rPr>
              <w:t xml:space="preserve"> </w:t>
            </w:r>
            <w:r w:rsidRPr="4DCF16DC">
              <w:rPr>
                <w:rFonts w:eastAsiaTheme="minorEastAsia"/>
                <w:sz w:val="18"/>
                <w:szCs w:val="18"/>
              </w:rPr>
              <w:t>thematic analysis.</w:t>
            </w:r>
            <w:r w:rsidR="3400E2B8" w:rsidRPr="4DCF16DC">
              <w:rPr>
                <w:rFonts w:eastAsiaTheme="minorEastAsia"/>
                <w:sz w:val="18"/>
                <w:szCs w:val="18"/>
              </w:rPr>
              <w:t xml:space="preserve"> Findings: The findings indicated that most respondents equated PE with team sports. Findings suggest that Physical Educators need to acknowledge how past and present </w:t>
            </w:r>
            <w:r w:rsidR="3400E2B8" w:rsidRPr="4DCF16DC">
              <w:rPr>
                <w:rFonts w:eastAsiaTheme="minorEastAsia"/>
                <w:sz w:val="18"/>
                <w:szCs w:val="18"/>
                <w:lang w:val="en-US"/>
              </w:rPr>
              <w:t>experience of PE impacts young people’s future motivation to continue PA beyond school Delivery of traditional PE lessons, prioritising sporting ability, can act as a participation barrier to pupils who consider themselves “non-sporty”. Accordingly, a shift towards inclusive pedagogical models with an emphasis on a holistic approach, may best promote the physical literacy necessary for the competence and confidence to continue movement in a lifelong capacity.</w:t>
            </w:r>
          </w:p>
        </w:tc>
      </w:tr>
      <w:tr w:rsidR="0077472D" w:rsidRPr="005365AA" w14:paraId="304320FE" w14:textId="77777777" w:rsidTr="4DCF16DC">
        <w:trPr>
          <w:trHeight w:val="300"/>
        </w:trPr>
        <w:tc>
          <w:tcPr>
            <w:tcW w:w="3315" w:type="dxa"/>
            <w:hideMark/>
          </w:tcPr>
          <w:p w14:paraId="0C8614F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0EDF86CD" w14:textId="7B28B4C2" w:rsidR="0077472D" w:rsidRPr="005365AA" w:rsidRDefault="00C5C369" w:rsidP="4DCF16DC">
            <w:pPr>
              <w:spacing w:before="240" w:after="240" w:line="240" w:lineRule="auto"/>
              <w:textAlignment w:val="baseline"/>
              <w:rPr>
                <w:rFonts w:eastAsiaTheme="minorEastAsia"/>
                <w:sz w:val="18"/>
                <w:szCs w:val="18"/>
              </w:rPr>
            </w:pPr>
            <w:r w:rsidRPr="4DCF16DC">
              <w:rPr>
                <w:rFonts w:eastAsiaTheme="minorEastAsia"/>
                <w:color w:val="1F1F1F"/>
                <w:sz w:val="18"/>
                <w:szCs w:val="18"/>
                <w:lang w:val="hr"/>
              </w:rPr>
              <w:t>Tjelesni odgoj, neaktivnost, prepreke sudjelovanju, prošla iskustva, tjelesna aktivnost</w:t>
            </w:r>
          </w:p>
        </w:tc>
      </w:tr>
      <w:tr w:rsidR="0077472D" w:rsidRPr="005365AA" w14:paraId="31110868" w14:textId="77777777" w:rsidTr="4DCF16DC">
        <w:trPr>
          <w:trHeight w:val="300"/>
        </w:trPr>
        <w:tc>
          <w:tcPr>
            <w:tcW w:w="3315" w:type="dxa"/>
            <w:hideMark/>
          </w:tcPr>
          <w:p w14:paraId="1A5584CC"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5DD43563" w14:textId="3202DEEE" w:rsidR="0077472D" w:rsidRPr="005365AA" w:rsidRDefault="2385C07B" w:rsidP="4DCF16DC">
            <w:pPr>
              <w:spacing w:after="0" w:line="240" w:lineRule="auto"/>
              <w:textAlignment w:val="baseline"/>
              <w:rPr>
                <w:rFonts w:eastAsiaTheme="minorEastAsia"/>
                <w:sz w:val="18"/>
                <w:szCs w:val="18"/>
              </w:rPr>
            </w:pPr>
            <w:r w:rsidRPr="4DCF16DC">
              <w:rPr>
                <w:rFonts w:eastAsiaTheme="minorEastAsia"/>
                <w:color w:val="1F1F1F"/>
                <w:sz w:val="18"/>
                <w:szCs w:val="18"/>
                <w:lang w:val="hr"/>
              </w:rPr>
              <w:t>Istraživanje istražuje prepreke sudjelovanju u tjelesnom odgoju, tjelesnoj aktivnosti i sportu među učenicima viših razreda, s naglaskom na to kako mladi ljudi konceptualiziraju ta iskustva i utjecaj prošlih iskustava na buduću motivaciju.</w:t>
            </w:r>
            <w:r w:rsidR="0E9D7F11">
              <w:br/>
            </w:r>
            <w:r w:rsidRPr="4DCF16DC">
              <w:rPr>
                <w:rFonts w:eastAsiaTheme="minorEastAsia"/>
                <w:color w:val="1F1F1F"/>
                <w:sz w:val="18"/>
                <w:szCs w:val="18"/>
                <w:lang w:val="hr"/>
              </w:rPr>
              <w:t>Kritika kurikuluma tjelesnog odgoja naglašava potrebu za fokusom na dugoročne rezultate tjelesne aktivnosti, a ne na neposredne ciljeve.</w:t>
            </w:r>
            <w:r w:rsidR="0E9D7F11">
              <w:br/>
            </w:r>
            <w:r w:rsidRPr="4DCF16DC">
              <w:rPr>
                <w:rFonts w:eastAsiaTheme="minorEastAsia"/>
                <w:color w:val="1F1F1F"/>
                <w:sz w:val="18"/>
                <w:szCs w:val="18"/>
                <w:lang w:val="hr"/>
              </w:rPr>
              <w:t>Tradicionalni tjelesni odgoj često daje prioritet kratkoročnim rezultatima, zanemarujući utjecaj prošlih iskustava na buduće sudjelovanje u tjelesnoj aktivnosti.</w:t>
            </w:r>
            <w:r w:rsidR="0E9D7F11">
              <w:br/>
            </w:r>
            <w:r w:rsidRPr="4DCF16DC">
              <w:rPr>
                <w:rFonts w:eastAsiaTheme="minorEastAsia"/>
                <w:color w:val="1F1F1F"/>
                <w:sz w:val="18"/>
                <w:szCs w:val="18"/>
                <w:lang w:val="hr"/>
              </w:rPr>
              <w:t>Šire razumijevanje djelovanja i svrhe tjelesnog odgoja potrebno je za promicanje cjeloživotne tjelesne aktivnosti.</w:t>
            </w:r>
            <w:r w:rsidR="0E9D7F11">
              <w:br/>
            </w:r>
            <w:r w:rsidRPr="4DCF16DC">
              <w:rPr>
                <w:rFonts w:eastAsiaTheme="minorEastAsia"/>
                <w:color w:val="1F1F1F"/>
                <w:sz w:val="18"/>
                <w:szCs w:val="18"/>
                <w:lang w:val="hr"/>
              </w:rPr>
              <w:t>Studija naglašava važnost rješavanja prošlih i sadašnjih iskustava u oblikovanju budućeg sudjelovanja u tjelesnoj aktivnosti.</w:t>
            </w:r>
          </w:p>
        </w:tc>
      </w:tr>
      <w:tr w:rsidR="0077472D" w:rsidRPr="005365AA" w14:paraId="78B4CA1C" w14:textId="77777777" w:rsidTr="4DCF16DC">
        <w:trPr>
          <w:trHeight w:val="300"/>
        </w:trPr>
        <w:tc>
          <w:tcPr>
            <w:tcW w:w="3315" w:type="dxa"/>
            <w:hideMark/>
          </w:tcPr>
          <w:p w14:paraId="757C57C4"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3E40002D"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3500481D" w14:textId="51DCC661" w:rsidR="7A81D246" w:rsidRDefault="6F609DF0" w:rsidP="4DCF16DC">
            <w:pPr>
              <w:spacing w:after="0" w:line="240" w:lineRule="auto"/>
              <w:rPr>
                <w:rFonts w:eastAsiaTheme="minorEastAsia"/>
                <w:sz w:val="18"/>
                <w:szCs w:val="18"/>
              </w:rPr>
            </w:pPr>
            <w:r w:rsidRPr="4DCF16DC">
              <w:rPr>
                <w:rFonts w:eastAsiaTheme="minorEastAsia"/>
                <w:color w:val="1F1F1F"/>
                <w:sz w:val="18"/>
                <w:szCs w:val="18"/>
                <w:lang w:val="hr"/>
              </w:rPr>
              <w:t>Prepreke sudjelovanju u tjelesnom odgoju</w:t>
            </w:r>
            <w:r w:rsidR="059DFF21" w:rsidRPr="4DCF16DC">
              <w:rPr>
                <w:rFonts w:eastAsiaTheme="minorEastAsia"/>
                <w:color w:val="1F1F1F"/>
                <w:sz w:val="18"/>
                <w:szCs w:val="18"/>
                <w:lang w:val="hr"/>
              </w:rPr>
              <w:t>:</w:t>
            </w:r>
            <w:r w:rsidR="7A81D246">
              <w:br/>
            </w:r>
            <w:r w:rsidRPr="4DCF16DC">
              <w:rPr>
                <w:rFonts w:eastAsiaTheme="minorEastAsia"/>
                <w:color w:val="1F1F1F"/>
                <w:sz w:val="18"/>
                <w:szCs w:val="18"/>
                <w:lang w:val="hr"/>
              </w:rPr>
              <w:t>Studija istražuje prepreke s kojima se suočavaju učenici viših razreda srednje škole u sudjelovanju u tjelesnom odgoju, tjelesnoj aktivnosti i sportu.</w:t>
            </w:r>
            <w:r w:rsidR="7A81D246">
              <w:br/>
            </w:r>
            <w:r w:rsidRPr="4DCF16DC">
              <w:rPr>
                <w:rFonts w:eastAsiaTheme="minorEastAsia"/>
                <w:color w:val="1F1F1F"/>
                <w:sz w:val="18"/>
                <w:szCs w:val="18"/>
                <w:lang w:val="hr"/>
              </w:rPr>
              <w:t>Prethodne studije identificirale su ključne prepreke sudjelovanju u tjelesnom odgoju, tjelesnoj aktivnosti i sportu (PEPAS).</w:t>
            </w:r>
            <w:r w:rsidR="7A81D246">
              <w:br/>
            </w:r>
            <w:r w:rsidRPr="4DCF16DC">
              <w:rPr>
                <w:rFonts w:eastAsiaTheme="minorEastAsia"/>
                <w:color w:val="1F1F1F"/>
                <w:sz w:val="18"/>
                <w:szCs w:val="18"/>
                <w:lang w:val="hr"/>
              </w:rPr>
              <w:t>Nedostaju kvalitativni dokazi o tome zašto mladi ljudi sudjeluju ili ne sudjeluju u tjelesnoj aktivnosti.</w:t>
            </w:r>
            <w:r w:rsidR="7A81D246">
              <w:br/>
            </w:r>
            <w:r w:rsidRPr="4DCF16DC">
              <w:rPr>
                <w:rFonts w:eastAsiaTheme="minorEastAsia"/>
                <w:color w:val="1F1F1F"/>
                <w:sz w:val="18"/>
                <w:szCs w:val="18"/>
                <w:lang w:val="hr"/>
              </w:rPr>
              <w:t>Pandemija Covid-19 dovela je do digitalizacije tjelesnog odgoja, pomičući fokus na satove fitnessa za odrasle umjesto na tradicionalni tjelesni odgoj.</w:t>
            </w:r>
            <w:r w:rsidR="7A81D246">
              <w:br/>
            </w:r>
            <w:r w:rsidRPr="4DCF16DC">
              <w:rPr>
                <w:rFonts w:eastAsiaTheme="minorEastAsia"/>
                <w:color w:val="1F1F1F"/>
                <w:sz w:val="18"/>
                <w:szCs w:val="18"/>
                <w:lang w:val="hr"/>
              </w:rPr>
              <w:t>U studiji je sudjelovalo 24 ispitanika u dobi od 16 do 19 godina, podijeljenih u pet fokusnih skupina, analiziranih tematskom analizom.</w:t>
            </w:r>
            <w:r w:rsidR="7A81D246">
              <w:br/>
            </w:r>
            <w:r w:rsidR="7A81D246">
              <w:br/>
            </w:r>
            <w:r w:rsidRPr="4DCF16DC">
              <w:rPr>
                <w:rFonts w:eastAsiaTheme="minorEastAsia"/>
                <w:color w:val="1F1F1F"/>
                <w:sz w:val="18"/>
                <w:szCs w:val="18"/>
                <w:lang w:val="hr"/>
              </w:rPr>
              <w:t>Zablude o tjelesnom odgoju</w:t>
            </w:r>
            <w:r w:rsidR="6C20898C" w:rsidRPr="4DCF16DC">
              <w:rPr>
                <w:rFonts w:eastAsiaTheme="minorEastAsia"/>
                <w:color w:val="1F1F1F"/>
                <w:sz w:val="18"/>
                <w:szCs w:val="18"/>
                <w:lang w:val="hr"/>
              </w:rPr>
              <w:t>:</w:t>
            </w:r>
            <w:r w:rsidR="7A81D246">
              <w:br/>
            </w:r>
            <w:r w:rsidRPr="4DCF16DC">
              <w:rPr>
                <w:rFonts w:eastAsiaTheme="minorEastAsia"/>
                <w:color w:val="1F1F1F"/>
                <w:sz w:val="18"/>
                <w:szCs w:val="18"/>
                <w:lang w:val="hr"/>
              </w:rPr>
              <w:t>Sudionici često izjednačavaju tjelesni odgoj s natjecateljskim sportovima, što dovodi do nesporazuma o njegovoj pravoj svrsi.</w:t>
            </w:r>
            <w:r w:rsidR="7A81D246">
              <w:br/>
            </w:r>
            <w:r w:rsidRPr="4DCF16DC">
              <w:rPr>
                <w:rFonts w:eastAsiaTheme="minorEastAsia"/>
                <w:color w:val="1F1F1F"/>
                <w:sz w:val="18"/>
                <w:szCs w:val="18"/>
                <w:lang w:val="hr"/>
              </w:rPr>
              <w:t>Većina ispitanika povezivala je tjelesni odgoj s timskim sportovima i natjecateljskim aktivnostima.</w:t>
            </w:r>
            <w:r w:rsidR="7A81D246">
              <w:br/>
            </w:r>
            <w:r w:rsidRPr="4DCF16DC">
              <w:rPr>
                <w:rFonts w:eastAsiaTheme="minorEastAsia"/>
                <w:color w:val="1F1F1F"/>
                <w:sz w:val="18"/>
                <w:szCs w:val="18"/>
                <w:lang w:val="hr"/>
              </w:rPr>
              <w:t>Među sudionicima postoji zbrka oko razlike između tjelesne aktivnosti i tjelesnog odgoja.</w:t>
            </w:r>
            <w:r w:rsidR="7A81D246">
              <w:br/>
            </w:r>
            <w:r w:rsidRPr="4DCF16DC">
              <w:rPr>
                <w:rFonts w:eastAsiaTheme="minorEastAsia"/>
                <w:color w:val="1F1F1F"/>
                <w:sz w:val="18"/>
                <w:szCs w:val="18"/>
                <w:lang w:val="hr"/>
              </w:rPr>
              <w:t>Mnogi vjeruju da je primarni cilj tjelesnog odgoja kratkotrajna tjelesna aktivnost, što dovodi do fokusa na neposredne rezultate u fitnessu.</w:t>
            </w:r>
            <w:r w:rsidR="7A81D246">
              <w:br/>
            </w:r>
            <w:r w:rsidRPr="4DCF16DC">
              <w:rPr>
                <w:rFonts w:eastAsiaTheme="minorEastAsia"/>
                <w:color w:val="1F1F1F"/>
                <w:sz w:val="18"/>
                <w:szCs w:val="18"/>
                <w:lang w:val="hr"/>
              </w:rPr>
              <w:t>Negativna iskustva, poput testiranja fizičke spremnosti, doprinose nedostatku motivacije za buduće sudjelovanje.</w:t>
            </w:r>
          </w:p>
          <w:p w14:paraId="68E4D6EF" w14:textId="7BC3238B" w:rsidR="1B7FF584" w:rsidRDefault="07CA1732" w:rsidP="4DCF16DC">
            <w:pPr>
              <w:spacing w:after="0" w:line="240" w:lineRule="auto"/>
              <w:rPr>
                <w:rFonts w:eastAsiaTheme="minorEastAsia"/>
                <w:sz w:val="18"/>
                <w:szCs w:val="18"/>
              </w:rPr>
            </w:pPr>
            <w:r w:rsidRPr="4DCF16DC">
              <w:rPr>
                <w:rFonts w:eastAsiaTheme="minorEastAsia"/>
                <w:color w:val="1F1F1F"/>
                <w:sz w:val="18"/>
                <w:szCs w:val="18"/>
                <w:lang w:val="hr"/>
              </w:rPr>
              <w:t>Okolinski faktori, poput dostupnosti sadržaja, bili su manje značajne prepreke u usporedbi s problemima slike o sebi.</w:t>
            </w:r>
          </w:p>
          <w:p w14:paraId="38538F7F" w14:textId="0DF1E592" w:rsidR="0077472D" w:rsidRPr="005365AA" w:rsidRDefault="0077472D" w:rsidP="4DCF16DC">
            <w:pPr>
              <w:spacing w:after="0" w:line="240" w:lineRule="auto"/>
              <w:textAlignment w:val="baseline"/>
              <w:rPr>
                <w:rFonts w:eastAsiaTheme="minorEastAsia"/>
                <w:sz w:val="18"/>
                <w:szCs w:val="18"/>
                <w:lang w:eastAsia="hr-HR"/>
              </w:rPr>
            </w:pPr>
          </w:p>
        </w:tc>
      </w:tr>
      <w:tr w:rsidR="0077472D" w:rsidRPr="005365AA" w14:paraId="27133230" w14:textId="77777777" w:rsidTr="4DCF16DC">
        <w:trPr>
          <w:trHeight w:val="300"/>
        </w:trPr>
        <w:tc>
          <w:tcPr>
            <w:tcW w:w="3315" w:type="dxa"/>
            <w:hideMark/>
          </w:tcPr>
          <w:p w14:paraId="4ABA7F3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6FB05D17"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060AF34D" w14:textId="7340C350" w:rsidR="617BBD37" w:rsidRDefault="7B50F5CC" w:rsidP="4DCF16DC">
            <w:pPr>
              <w:spacing w:after="0" w:line="240" w:lineRule="auto"/>
              <w:rPr>
                <w:rFonts w:eastAsiaTheme="minorEastAsia"/>
                <w:sz w:val="18"/>
                <w:szCs w:val="18"/>
              </w:rPr>
            </w:pPr>
            <w:r w:rsidRPr="4DCF16DC">
              <w:rPr>
                <w:rFonts w:eastAsiaTheme="minorEastAsia"/>
                <w:color w:val="1F1F1F"/>
                <w:sz w:val="18"/>
                <w:szCs w:val="18"/>
                <w:lang w:val="hr"/>
              </w:rPr>
              <w:t xml:space="preserve">Projekt </w:t>
            </w:r>
            <w:r w:rsidR="6F279A50" w:rsidRPr="4DCF16DC">
              <w:rPr>
                <w:rFonts w:eastAsiaTheme="minorEastAsia"/>
                <w:color w:val="1F1F1F"/>
                <w:sz w:val="18"/>
                <w:szCs w:val="18"/>
                <w:lang w:val="hr"/>
              </w:rPr>
              <w:t>M</w:t>
            </w:r>
            <w:r w:rsidRPr="4DCF16DC">
              <w:rPr>
                <w:rFonts w:eastAsiaTheme="minorEastAsia"/>
                <w:color w:val="1F1F1F"/>
                <w:sz w:val="18"/>
                <w:szCs w:val="18"/>
                <w:lang w:val="hr"/>
              </w:rPr>
              <w:t>entiFit može imati koristi od ove studije u nekoliko važnih točaka na temelju rezultata istraživanja</w:t>
            </w:r>
            <w:r w:rsidR="6B42CCCB" w:rsidRPr="4DCF16DC">
              <w:rPr>
                <w:rFonts w:eastAsiaTheme="minorEastAsia"/>
                <w:color w:val="1F1F1F"/>
                <w:sz w:val="18"/>
                <w:szCs w:val="18"/>
                <w:lang w:val="hr"/>
              </w:rPr>
              <w:t>.</w:t>
            </w:r>
            <w:r w:rsidR="617BBD37">
              <w:br/>
            </w:r>
            <w:r w:rsidR="617BBD37">
              <w:br/>
            </w:r>
            <w:r w:rsidRPr="4DCF16DC">
              <w:rPr>
                <w:rFonts w:eastAsiaTheme="minorEastAsia"/>
                <w:color w:val="1F1F1F"/>
                <w:sz w:val="18"/>
                <w:szCs w:val="18"/>
                <w:lang w:val="hr"/>
              </w:rPr>
              <w:t>Preporuke za poboljšanje tjelesnog odgoja</w:t>
            </w:r>
            <w:r w:rsidR="0B4BCC26" w:rsidRPr="4DCF16DC">
              <w:rPr>
                <w:rFonts w:eastAsiaTheme="minorEastAsia"/>
                <w:color w:val="1F1F1F"/>
                <w:sz w:val="18"/>
                <w:szCs w:val="18"/>
                <w:lang w:val="hr"/>
              </w:rPr>
              <w:t>:</w:t>
            </w:r>
            <w:r w:rsidR="617BBD37">
              <w:br/>
            </w:r>
            <w:r w:rsidRPr="4DCF16DC">
              <w:rPr>
                <w:rFonts w:eastAsiaTheme="minorEastAsia"/>
                <w:color w:val="1F1F1F"/>
                <w:sz w:val="18"/>
                <w:szCs w:val="18"/>
                <w:lang w:val="hr"/>
              </w:rPr>
              <w:t>Studija predlaže pomak prema inkluzivnijim i holističkim pristupima tjelesnom odgoju kako bi se poboljšalo sudjelovanje.</w:t>
            </w:r>
            <w:r w:rsidR="617BBD37">
              <w:br/>
            </w:r>
            <w:r w:rsidRPr="4DCF16DC">
              <w:rPr>
                <w:rFonts w:eastAsiaTheme="minorEastAsia"/>
                <w:color w:val="1F1F1F"/>
                <w:sz w:val="18"/>
                <w:szCs w:val="18"/>
                <w:lang w:val="hr"/>
              </w:rPr>
              <w:t>Preporučuje se inkluzivniji pristup tjelesnom odgoju usmjeren na učenike kako bi se uključili svi učenici, a ne samo oni s visokim sportskim sposobnostima.</w:t>
            </w:r>
            <w:r w:rsidR="617BBD37">
              <w:br/>
            </w:r>
            <w:r w:rsidRPr="4DCF16DC">
              <w:rPr>
                <w:rFonts w:eastAsiaTheme="minorEastAsia"/>
                <w:color w:val="1F1F1F"/>
                <w:sz w:val="18"/>
                <w:szCs w:val="18"/>
                <w:lang w:val="hr"/>
              </w:rPr>
              <w:t>Implementacija prakse temeljene na modelima (MBP) u tjelesnom odgoju mogla bi povećati intrinzičnu motivaciju i sudjelovanje.</w:t>
            </w:r>
            <w:r w:rsidR="617BBD37">
              <w:br/>
            </w:r>
            <w:r w:rsidRPr="4DCF16DC">
              <w:rPr>
                <w:rFonts w:eastAsiaTheme="minorEastAsia"/>
                <w:color w:val="1F1F1F"/>
                <w:sz w:val="18"/>
                <w:szCs w:val="18"/>
                <w:lang w:val="hr"/>
              </w:rPr>
              <w:t>Sadržaj kurikuluma trebao bi omogućiti veći izbor učenika kako bi se potaknuo pozitivan stav prema tjelesnoj aktivnosti</w:t>
            </w:r>
            <w:r w:rsidR="60D8D67B" w:rsidRPr="4DCF16DC">
              <w:rPr>
                <w:rFonts w:eastAsiaTheme="minorEastAsia"/>
                <w:color w:val="1F1F1F"/>
                <w:sz w:val="18"/>
                <w:szCs w:val="18"/>
                <w:lang w:val="hr"/>
              </w:rPr>
              <w:t>.</w:t>
            </w:r>
            <w:r w:rsidR="617BBD37">
              <w:br/>
            </w:r>
            <w:r w:rsidR="0B186276" w:rsidRPr="4DCF16DC">
              <w:rPr>
                <w:rFonts w:eastAsiaTheme="minorEastAsia"/>
                <w:color w:val="1F1F1F"/>
                <w:sz w:val="18"/>
                <w:szCs w:val="18"/>
                <w:lang w:val="hr"/>
              </w:rPr>
              <w:t>N</w:t>
            </w:r>
            <w:r w:rsidRPr="4DCF16DC">
              <w:rPr>
                <w:rFonts w:eastAsiaTheme="minorEastAsia"/>
                <w:color w:val="1F1F1F"/>
                <w:sz w:val="18"/>
                <w:szCs w:val="18"/>
                <w:lang w:val="hr"/>
              </w:rPr>
              <w:t>aglašavanje dugoročnih zdravstvenih koristi, a ne kratkoročnih ciljeva u području kondicije, ključno je za održavanje sudjelovanja u tjelesnoj aktivnosti.</w:t>
            </w:r>
          </w:p>
          <w:p w14:paraId="6D217385" w14:textId="5C97D4A0" w:rsidR="5AB0C6CE" w:rsidRDefault="5AB0C6CE" w:rsidP="4DCF16DC">
            <w:pPr>
              <w:spacing w:after="0" w:line="240" w:lineRule="auto"/>
              <w:rPr>
                <w:rFonts w:eastAsiaTheme="minorEastAsia"/>
                <w:color w:val="1F1F1F"/>
                <w:sz w:val="18"/>
                <w:szCs w:val="18"/>
                <w:lang w:val="hr"/>
              </w:rPr>
            </w:pPr>
          </w:p>
          <w:p w14:paraId="4BC901AB" w14:textId="5FC2EA55" w:rsidR="181B4902" w:rsidRDefault="4A33A428" w:rsidP="4DCF16DC">
            <w:pPr>
              <w:spacing w:after="0" w:line="240" w:lineRule="auto"/>
              <w:rPr>
                <w:rFonts w:eastAsiaTheme="minorEastAsia"/>
                <w:sz w:val="18"/>
                <w:szCs w:val="18"/>
              </w:rPr>
            </w:pPr>
            <w:r w:rsidRPr="4DCF16DC">
              <w:rPr>
                <w:rFonts w:eastAsiaTheme="minorEastAsia"/>
                <w:color w:val="1F1F1F"/>
                <w:sz w:val="18"/>
                <w:szCs w:val="18"/>
                <w:lang w:val="hr"/>
              </w:rPr>
              <w:t>Važnost holističkog tjelesnog odgoja:</w:t>
            </w:r>
            <w:r w:rsidR="181B4902">
              <w:br/>
            </w:r>
            <w:r w:rsidRPr="4DCF16DC">
              <w:rPr>
                <w:rFonts w:eastAsiaTheme="minorEastAsia"/>
                <w:color w:val="1F1F1F"/>
                <w:sz w:val="18"/>
                <w:szCs w:val="18"/>
                <w:lang w:val="hr"/>
              </w:rPr>
              <w:t>Prelazak na inkluzivniji pristup tjelesnom odgoju usmjeren na učenika ključan je za poticanje cjeloživotne tjelesne aktivnosti.</w:t>
            </w:r>
            <w:r w:rsidR="181B4902">
              <w:br/>
            </w:r>
            <w:r w:rsidRPr="4DCF16DC">
              <w:rPr>
                <w:rFonts w:eastAsiaTheme="minorEastAsia"/>
                <w:color w:val="1F1F1F"/>
                <w:sz w:val="18"/>
                <w:szCs w:val="18"/>
                <w:lang w:val="hr"/>
              </w:rPr>
              <w:t>Naglasak na maksimiziranju tjelesne aktivnosti ne bi trebao ugroziti učenje tijekom nastave tjelesnog odgoja.</w:t>
            </w:r>
            <w:r w:rsidR="181B4902">
              <w:br/>
            </w:r>
            <w:r w:rsidRPr="4DCF16DC">
              <w:rPr>
                <w:rFonts w:eastAsiaTheme="minorEastAsia"/>
                <w:color w:val="1F1F1F"/>
                <w:sz w:val="18"/>
                <w:szCs w:val="18"/>
                <w:lang w:val="hr"/>
              </w:rPr>
              <w:t>Holistički pristup zahtijeva transformaciju tjelesnog odgoja, s naglaskom na nastavu usmjerenu na učenika.</w:t>
            </w:r>
            <w:r w:rsidR="181B4902">
              <w:br/>
            </w:r>
            <w:r w:rsidRPr="4DCF16DC">
              <w:rPr>
                <w:rFonts w:eastAsiaTheme="minorEastAsia"/>
                <w:color w:val="1F1F1F"/>
                <w:sz w:val="18"/>
                <w:szCs w:val="18"/>
                <w:lang w:val="hr"/>
              </w:rPr>
              <w:t>Pretjerano oslanjanje na kratkoročne ishode može ometati razvoj cjeloživotnih navika tjelesnog odgoja.</w:t>
            </w:r>
            <w:r w:rsidR="181B4902">
              <w:br/>
            </w:r>
            <w:r w:rsidRPr="4DCF16DC">
              <w:rPr>
                <w:rFonts w:eastAsiaTheme="minorEastAsia"/>
                <w:color w:val="1F1F1F"/>
                <w:sz w:val="18"/>
                <w:szCs w:val="18"/>
                <w:lang w:val="hr"/>
              </w:rPr>
              <w:t>Prethodna negativna iskustva u tjelesnom odgoju mogu utjecati na buduće sudjelovanje u tjelesnom odgoju, posebno kod osoba u dobi od 16 i više godina.</w:t>
            </w:r>
            <w:r w:rsidR="181B4902">
              <w:br/>
            </w:r>
            <w:r w:rsidR="181B4902">
              <w:br/>
            </w:r>
            <w:r w:rsidRPr="4DCF16DC">
              <w:rPr>
                <w:rFonts w:eastAsiaTheme="minorEastAsia"/>
                <w:color w:val="1F1F1F"/>
                <w:sz w:val="18"/>
                <w:szCs w:val="18"/>
                <w:lang w:val="hr"/>
              </w:rPr>
              <w:t>Izazovi u trenutnim praksama tjelesnog odgoja:</w:t>
            </w:r>
            <w:r w:rsidR="181B4902">
              <w:br/>
            </w:r>
            <w:r w:rsidRPr="4DCF16DC">
              <w:rPr>
                <w:rFonts w:eastAsiaTheme="minorEastAsia"/>
                <w:color w:val="1F1F1F"/>
                <w:sz w:val="18"/>
                <w:szCs w:val="18"/>
                <w:lang w:val="hr"/>
              </w:rPr>
              <w:t>Trenutne prakse tjelesnog odgoja često naglašavaju sportove povezane s performansama i tradicionalne metode poučavanja, koje možda neće učinkovito angažirati učenike.</w:t>
            </w:r>
            <w:r w:rsidR="181B4902">
              <w:br/>
            </w:r>
            <w:r w:rsidRPr="4DCF16DC">
              <w:rPr>
                <w:rFonts w:eastAsiaTheme="minorEastAsia"/>
                <w:color w:val="1F1F1F"/>
                <w:sz w:val="18"/>
                <w:szCs w:val="18"/>
                <w:lang w:val="hr"/>
              </w:rPr>
              <w:t>Mnogi satovi tjelesnog odgoja oslanjaju se na ponavljajuće vježbe i neinspirativne prakse, poput testiranja fizičke spremnosti.</w:t>
            </w:r>
            <w:r w:rsidR="181B4902">
              <w:br/>
            </w:r>
            <w:r w:rsidRPr="4DCF16DC">
              <w:rPr>
                <w:rFonts w:eastAsiaTheme="minorEastAsia"/>
                <w:color w:val="1F1F1F"/>
                <w:sz w:val="18"/>
                <w:szCs w:val="18"/>
                <w:lang w:val="hr"/>
              </w:rPr>
              <w:t>Sudionici su izvijestili da tradicionalne metode dovode do neangažiranosti i niske percipirane kompetencije u tjelesnoj pismenosti.</w:t>
            </w:r>
            <w:r w:rsidR="181B4902">
              <w:br/>
            </w:r>
            <w:r w:rsidRPr="4DCF16DC">
              <w:rPr>
                <w:rFonts w:eastAsiaTheme="minorEastAsia"/>
                <w:color w:val="1F1F1F"/>
                <w:sz w:val="18"/>
                <w:szCs w:val="18"/>
                <w:lang w:val="hr"/>
              </w:rPr>
              <w:t>Potrebno je da se tjelesni odgoj preoblikuje kako bi se prilagodio suvremenim obrazovnim zahtjevima.</w:t>
            </w:r>
          </w:p>
          <w:p w14:paraId="5BF026F3" w14:textId="72F55324" w:rsidR="0077472D" w:rsidRPr="005365AA" w:rsidRDefault="090FCF64" w:rsidP="4DCF16DC">
            <w:pPr>
              <w:spacing w:before="240" w:after="240" w:line="240" w:lineRule="auto"/>
              <w:textAlignment w:val="baseline"/>
              <w:rPr>
                <w:rFonts w:eastAsiaTheme="minorEastAsia"/>
                <w:sz w:val="18"/>
                <w:szCs w:val="18"/>
              </w:rPr>
            </w:pPr>
            <w:r w:rsidRPr="4DCF16DC">
              <w:rPr>
                <w:rFonts w:eastAsiaTheme="minorEastAsia"/>
                <w:color w:val="1F1F1F"/>
                <w:sz w:val="18"/>
                <w:szCs w:val="18"/>
                <w:lang w:val="hr"/>
              </w:rPr>
              <w:t>Otpor promjenama u tjelesnom odgoju:</w:t>
            </w:r>
            <w:r w:rsidR="0D331537">
              <w:br/>
            </w:r>
            <w:r w:rsidRPr="4DCF16DC">
              <w:rPr>
                <w:rFonts w:eastAsiaTheme="minorEastAsia"/>
                <w:color w:val="1F1F1F"/>
                <w:sz w:val="18"/>
                <w:szCs w:val="18"/>
                <w:lang w:val="hr"/>
              </w:rPr>
              <w:t>Otpor promjenama među učiteljima tjelesnog odgoja značajna je prepreka primjeni učinkovitih metoda poučavanja i promjena kurikuluma.</w:t>
            </w:r>
            <w:r w:rsidR="0D331537">
              <w:br/>
            </w:r>
            <w:r w:rsidRPr="4DCF16DC">
              <w:rPr>
                <w:rFonts w:eastAsiaTheme="minorEastAsia"/>
                <w:color w:val="1F1F1F"/>
                <w:sz w:val="18"/>
                <w:szCs w:val="18"/>
                <w:lang w:val="hr"/>
              </w:rPr>
              <w:t>Neki učitelji tjelesnog odgoja opisuju se kao "neosjetljivi na promjene", unatoč svijesti o potrebi obnove kurikuluma.</w:t>
            </w:r>
            <w:r w:rsidR="0D331537">
              <w:br/>
            </w:r>
            <w:r w:rsidRPr="4DCF16DC">
              <w:rPr>
                <w:rFonts w:eastAsiaTheme="minorEastAsia"/>
                <w:color w:val="1F1F1F"/>
                <w:sz w:val="18"/>
                <w:szCs w:val="18"/>
                <w:lang w:val="hr"/>
              </w:rPr>
              <w:t>Zastarjele prakse obrazovanja učitelja doprinose ovom otporu, što zahtijeva reformu u osposobljavanju učitelja.</w:t>
            </w:r>
            <w:r w:rsidR="0D331537">
              <w:br/>
            </w:r>
            <w:r w:rsidRPr="4DCF16DC">
              <w:rPr>
                <w:rFonts w:eastAsiaTheme="minorEastAsia"/>
                <w:color w:val="1F1F1F"/>
                <w:sz w:val="18"/>
                <w:szCs w:val="18"/>
                <w:lang w:val="hr"/>
              </w:rPr>
              <w:t>Nasljeđe tradicionalnih metoda poučavanja i dalje negativno utječe na trenutne prakse tjelesnog odgoja.</w:t>
            </w:r>
            <w:r w:rsidR="0D331537">
              <w:br/>
            </w:r>
            <w:r w:rsidR="0D331537">
              <w:br/>
            </w:r>
            <w:r w:rsidRPr="4DCF16DC">
              <w:rPr>
                <w:rFonts w:eastAsiaTheme="minorEastAsia"/>
                <w:color w:val="1F1F1F"/>
                <w:sz w:val="18"/>
                <w:szCs w:val="18"/>
                <w:lang w:val="hr"/>
              </w:rPr>
              <w:t>Utjecaj prošlih iskustava na buduće sudjelovanje:</w:t>
            </w:r>
            <w:r w:rsidR="0D331537">
              <w:br/>
            </w:r>
            <w:r w:rsidRPr="4DCF16DC">
              <w:rPr>
                <w:rFonts w:eastAsiaTheme="minorEastAsia"/>
                <w:color w:val="1F1F1F"/>
                <w:sz w:val="18"/>
                <w:szCs w:val="18"/>
                <w:lang w:val="hr"/>
              </w:rPr>
              <w:t>Negativna prošla iskustva u tjelesnom odgoju mogu značajno utjecati na buduće sudjelovanje adolescenata u tjelesnoj aktivnosti.</w:t>
            </w:r>
            <w:r w:rsidR="0D331537">
              <w:br/>
            </w:r>
            <w:r w:rsidRPr="4DCF16DC">
              <w:rPr>
                <w:rFonts w:eastAsiaTheme="minorEastAsia"/>
                <w:color w:val="1F1F1F"/>
                <w:sz w:val="18"/>
                <w:szCs w:val="18"/>
                <w:lang w:val="hr"/>
              </w:rPr>
              <w:t>Načelo agencije sugerira da prošla iskustva oblikuju sadašnje izbore i buduće mogućnosti u vezi s tjelesnom aktivnošću.</w:t>
            </w:r>
            <w:r w:rsidR="0D331537">
              <w:br/>
            </w:r>
            <w:r w:rsidRPr="4DCF16DC">
              <w:rPr>
                <w:rFonts w:eastAsiaTheme="minorEastAsia"/>
                <w:color w:val="1F1F1F"/>
                <w:sz w:val="18"/>
                <w:szCs w:val="18"/>
                <w:lang w:val="hr"/>
              </w:rPr>
              <w:t>Trenutno nesudjelovanje u tjelesnoj aktivnosti često je povezano s negativnim iskustvima u tjelesnom odgoju, posebno u timskim sportovima.</w:t>
            </w:r>
            <w:r w:rsidR="0D331537">
              <w:br/>
            </w:r>
            <w:r w:rsidRPr="4DCF16DC">
              <w:rPr>
                <w:rFonts w:eastAsiaTheme="minorEastAsia"/>
                <w:color w:val="1F1F1F"/>
                <w:sz w:val="18"/>
                <w:szCs w:val="18"/>
                <w:lang w:val="hr"/>
              </w:rPr>
              <w:t>Nedostaje dokaza o tome kako poboljšati tjelesnu pismenost kod adolescenata u dobi od 16 do 18 godina koji su imali negativna iskustva s tjelesnim odgojem.</w:t>
            </w:r>
          </w:p>
        </w:tc>
      </w:tr>
      <w:tr w:rsidR="0077472D" w:rsidRPr="005365AA" w14:paraId="5A041CF8" w14:textId="77777777" w:rsidTr="4DCF16DC">
        <w:trPr>
          <w:trHeight w:val="300"/>
        </w:trPr>
        <w:tc>
          <w:tcPr>
            <w:tcW w:w="3315" w:type="dxa"/>
            <w:hideMark/>
          </w:tcPr>
          <w:p w14:paraId="2679233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1048F5A3" w14:textId="7E3D788F" w:rsidR="0077472D" w:rsidRPr="005365AA" w:rsidRDefault="7125FB94" w:rsidP="4DCF16DC">
            <w:pPr>
              <w:spacing w:before="240" w:after="240" w:line="240" w:lineRule="auto"/>
              <w:textAlignment w:val="baseline"/>
              <w:rPr>
                <w:rFonts w:eastAsiaTheme="minorEastAsia"/>
                <w:sz w:val="18"/>
                <w:szCs w:val="18"/>
                <w:lang w:eastAsia="hr-HR"/>
              </w:rPr>
            </w:pPr>
            <w:r w:rsidRPr="4DCF16DC">
              <w:rPr>
                <w:rFonts w:eastAsiaTheme="minorEastAsia"/>
                <w:color w:val="1F1F1F"/>
                <w:sz w:val="18"/>
                <w:szCs w:val="18"/>
                <w:lang w:val="hr"/>
              </w:rPr>
              <w:t>Metodologija studije pokazuje i ograničenja i snage koje utječu na valjanost i generalizabilnost nalaza.</w:t>
            </w:r>
            <w:r w:rsidR="0077472D">
              <w:br/>
            </w:r>
            <w:r w:rsidR="0077472D">
              <w:br/>
            </w:r>
            <w:r w:rsidRPr="4DCF16DC">
              <w:rPr>
                <w:rFonts w:eastAsiaTheme="minorEastAsia"/>
                <w:color w:val="1F1F1F"/>
                <w:sz w:val="18"/>
                <w:szCs w:val="18"/>
                <w:lang w:val="hr"/>
              </w:rPr>
              <w:t>Golozivost fokus grupa može biti ograničena zbog pristranosti samoodabira i malog broja sudionika.</w:t>
            </w:r>
            <w:r w:rsidR="0077472D">
              <w:br/>
            </w:r>
            <w:r w:rsidR="0077472D">
              <w:br/>
            </w:r>
            <w:r w:rsidRPr="4DCF16DC">
              <w:rPr>
                <w:rFonts w:eastAsiaTheme="minorEastAsia"/>
                <w:color w:val="1F1F1F"/>
                <w:sz w:val="18"/>
                <w:szCs w:val="18"/>
                <w:lang w:val="hr"/>
              </w:rPr>
              <w:t>Fokus grupe prikupljaju detaljne podatke i omogućuju adolescentima da izraze svoja uvjerenja i zabrinutost u vezi sa zdravstvenim problemima.</w:t>
            </w:r>
            <w:r w:rsidR="0077472D">
              <w:br/>
            </w:r>
            <w:r w:rsidR="0077472D">
              <w:br/>
            </w:r>
            <w:r w:rsidRPr="4DCF16DC">
              <w:rPr>
                <w:rFonts w:eastAsiaTheme="minorEastAsia"/>
                <w:color w:val="1F1F1F"/>
                <w:sz w:val="18"/>
                <w:szCs w:val="18"/>
                <w:lang w:val="hr"/>
              </w:rPr>
              <w:t>Metodologija uzorkovanja s namjerom osigurala je reprezentativan uzorak, olakšavajući usporedbe između različitih škola i područja.</w:t>
            </w:r>
          </w:p>
        </w:tc>
      </w:tr>
    </w:tbl>
    <w:p w14:paraId="04AD9EBD" w14:textId="13AF6F70"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7"/>
        <w:gridCol w:w="6575"/>
      </w:tblGrid>
      <w:tr w:rsidR="0077472D" w:rsidRPr="005365AA" w14:paraId="4892B082" w14:textId="77777777" w:rsidTr="4DCF16DC">
        <w:trPr>
          <w:trHeight w:val="300"/>
        </w:trPr>
        <w:tc>
          <w:tcPr>
            <w:tcW w:w="3315" w:type="dxa"/>
            <w:hideMark/>
          </w:tcPr>
          <w:p w14:paraId="1E9D7E8C" w14:textId="04303D3C"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7D64144D" w14:textId="28FCE1B9" w:rsidR="0077472D" w:rsidRPr="005365AA" w:rsidRDefault="448846D1" w:rsidP="4DCF16DC">
            <w:pPr>
              <w:spacing w:before="240" w:after="240" w:line="240" w:lineRule="auto"/>
              <w:textAlignment w:val="baseline"/>
              <w:rPr>
                <w:rFonts w:eastAsiaTheme="minorEastAsia"/>
                <w:sz w:val="18"/>
                <w:szCs w:val="18"/>
                <w:lang w:val="en-US"/>
              </w:rPr>
            </w:pPr>
            <w:r w:rsidRPr="4DCF16DC">
              <w:rPr>
                <w:rFonts w:eastAsiaTheme="minorEastAsia"/>
                <w:color w:val="222222"/>
                <w:sz w:val="18"/>
                <w:szCs w:val="18"/>
                <w:lang w:val="en-US"/>
              </w:rPr>
              <w:t xml:space="preserve">Akarsu, M., Güllü, M., Polat Günata, G., Kızılkaya, A., Aydın, S., Özcan, E., Norman, G., &amp; Kurhan, C. O. (2025). The Mediating Role of Physical Literacy in the Relationship Between e-Health Literacy and a Sustainable Healthy Lifestyle Among Adolescents. </w:t>
            </w:r>
            <w:r w:rsidRPr="4DCF16DC">
              <w:rPr>
                <w:rFonts w:eastAsiaTheme="minorEastAsia"/>
                <w:i/>
                <w:iCs/>
                <w:color w:val="222222"/>
                <w:sz w:val="18"/>
                <w:szCs w:val="18"/>
                <w:lang w:val="en-US"/>
              </w:rPr>
              <w:t>Healthcare</w:t>
            </w:r>
            <w:r w:rsidRPr="4DCF16DC">
              <w:rPr>
                <w:rFonts w:eastAsiaTheme="minorEastAsia"/>
                <w:color w:val="222222"/>
                <w:sz w:val="18"/>
                <w:szCs w:val="18"/>
                <w:lang w:val="en-US"/>
              </w:rPr>
              <w:t xml:space="preserve">, </w:t>
            </w:r>
            <w:r w:rsidRPr="4DCF16DC">
              <w:rPr>
                <w:rFonts w:eastAsiaTheme="minorEastAsia"/>
                <w:i/>
                <w:iCs/>
                <w:color w:val="222222"/>
                <w:sz w:val="18"/>
                <w:szCs w:val="18"/>
                <w:lang w:val="en-US"/>
              </w:rPr>
              <w:t>13</w:t>
            </w:r>
            <w:r w:rsidRPr="4DCF16DC">
              <w:rPr>
                <w:rFonts w:eastAsiaTheme="minorEastAsia"/>
                <w:color w:val="222222"/>
                <w:sz w:val="18"/>
                <w:szCs w:val="18"/>
                <w:lang w:val="en-US"/>
              </w:rPr>
              <w:t>(15), 1870. https://doi.org/10.3390/healthcare13151870</w:t>
            </w:r>
          </w:p>
          <w:p w14:paraId="1B0C7935" w14:textId="657DC7B1" w:rsidR="0077472D" w:rsidRPr="005365AA" w:rsidRDefault="0077472D" w:rsidP="4DCF16DC">
            <w:pPr>
              <w:spacing w:after="0" w:line="240" w:lineRule="auto"/>
              <w:textAlignment w:val="baseline"/>
              <w:rPr>
                <w:rFonts w:eastAsiaTheme="minorEastAsia"/>
                <w:b/>
                <w:bCs/>
                <w:sz w:val="18"/>
                <w:szCs w:val="18"/>
                <w:lang w:eastAsia="hr-HR"/>
              </w:rPr>
            </w:pPr>
          </w:p>
        </w:tc>
      </w:tr>
      <w:tr w:rsidR="0077472D" w:rsidRPr="005365AA" w14:paraId="2CE491E5" w14:textId="77777777" w:rsidTr="4DCF16DC">
        <w:trPr>
          <w:trHeight w:val="300"/>
        </w:trPr>
        <w:tc>
          <w:tcPr>
            <w:tcW w:w="3315" w:type="dxa"/>
            <w:hideMark/>
          </w:tcPr>
          <w:p w14:paraId="3E8A454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1E0E4FF4" w14:textId="50A23BFD" w:rsidR="0077472D" w:rsidRPr="005365AA" w:rsidRDefault="0077472D" w:rsidP="4DCF16DC">
            <w:pPr>
              <w:spacing w:after="0" w:line="240" w:lineRule="auto"/>
              <w:textAlignment w:val="baseline"/>
              <w:rPr>
                <w:rFonts w:eastAsiaTheme="minorEastAsia"/>
                <w:sz w:val="18"/>
                <w:szCs w:val="18"/>
              </w:rPr>
            </w:pPr>
          </w:p>
          <w:p w14:paraId="59910E75" w14:textId="3EE21D0C" w:rsidR="0077472D" w:rsidRPr="005365AA" w:rsidRDefault="4DC64162" w:rsidP="4DCF16DC">
            <w:pPr>
              <w:spacing w:after="0" w:line="240" w:lineRule="auto"/>
              <w:textAlignment w:val="baseline"/>
              <w:rPr>
                <w:rFonts w:eastAsiaTheme="minorEastAsia"/>
                <w:sz w:val="18"/>
                <w:szCs w:val="18"/>
              </w:rPr>
            </w:pPr>
            <w:r w:rsidRPr="4DCF16DC">
              <w:rPr>
                <w:rFonts w:eastAsiaTheme="minorEastAsia"/>
                <w:color w:val="0156CE"/>
                <w:sz w:val="18"/>
                <w:szCs w:val="18"/>
                <w:u w:val="single"/>
              </w:rPr>
              <w:t>https://doi.org/10.3390/healthcare13151870</w:t>
            </w:r>
          </w:p>
        </w:tc>
      </w:tr>
      <w:tr w:rsidR="0077472D" w:rsidRPr="005365AA" w14:paraId="69D72A76" w14:textId="77777777" w:rsidTr="4DCF16DC">
        <w:trPr>
          <w:trHeight w:val="300"/>
        </w:trPr>
        <w:tc>
          <w:tcPr>
            <w:tcW w:w="3315" w:type="dxa"/>
            <w:hideMark/>
          </w:tcPr>
          <w:p w14:paraId="57BDCD8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27830EAF" w14:textId="77F25006" w:rsidR="0077472D" w:rsidRPr="005365AA" w:rsidRDefault="2945EA52" w:rsidP="4DCF16DC">
            <w:pPr>
              <w:spacing w:after="0" w:line="240" w:lineRule="auto"/>
              <w:textAlignment w:val="baseline"/>
              <w:rPr>
                <w:rFonts w:eastAsiaTheme="minorEastAsia"/>
                <w:sz w:val="18"/>
                <w:szCs w:val="18"/>
                <w:lang w:val="en-US" w:eastAsia="hr-HR"/>
              </w:rPr>
            </w:pPr>
            <w:r w:rsidRPr="4DCF16DC">
              <w:rPr>
                <w:rFonts w:eastAsiaTheme="minorEastAsia"/>
                <w:sz w:val="18"/>
                <w:szCs w:val="18"/>
                <w:lang w:val="en-US" w:eastAsia="hr-HR"/>
              </w:rPr>
              <w:t>Tjelesna</w:t>
            </w:r>
            <w:r w:rsidR="3BCED115" w:rsidRPr="4DCF16DC">
              <w:rPr>
                <w:rFonts w:eastAsiaTheme="minorEastAsia"/>
                <w:sz w:val="18"/>
                <w:szCs w:val="18"/>
                <w:lang w:val="en-US" w:eastAsia="hr-HR"/>
              </w:rPr>
              <w:t xml:space="preserve"> </w:t>
            </w:r>
            <w:r w:rsidRPr="4DCF16DC">
              <w:rPr>
                <w:rFonts w:eastAsiaTheme="minorEastAsia"/>
                <w:sz w:val="18"/>
                <w:szCs w:val="18"/>
                <w:lang w:val="en-US" w:eastAsia="hr-HR"/>
              </w:rPr>
              <w:t>pismenost, pismenost u području e- zdravlja, zdravi stilovi života</w:t>
            </w:r>
          </w:p>
        </w:tc>
      </w:tr>
      <w:tr w:rsidR="0077472D" w:rsidRPr="005365AA" w14:paraId="48463D95" w14:textId="77777777" w:rsidTr="4DCF16DC">
        <w:trPr>
          <w:trHeight w:val="300"/>
        </w:trPr>
        <w:tc>
          <w:tcPr>
            <w:tcW w:w="3315" w:type="dxa"/>
          </w:tcPr>
          <w:p w14:paraId="7E84D75E"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49471D92" w14:textId="79C38BED" w:rsidR="0077472D" w:rsidRPr="005365AA" w:rsidRDefault="217BC5D6"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Iva Žegura</w:t>
            </w:r>
          </w:p>
        </w:tc>
      </w:tr>
      <w:tr w:rsidR="0077472D" w:rsidRPr="005365AA" w14:paraId="4F017052" w14:textId="77777777" w:rsidTr="4DCF16DC">
        <w:trPr>
          <w:trHeight w:val="300"/>
        </w:trPr>
        <w:tc>
          <w:tcPr>
            <w:tcW w:w="3315" w:type="dxa"/>
            <w:hideMark/>
          </w:tcPr>
          <w:p w14:paraId="49B56B46"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4FE136B8"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0DFD05F7"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3EDA9565"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2A2142A"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7EEC6C3E" w14:textId="1FE851C2" w:rsidR="0077472D" w:rsidRPr="005365AA" w:rsidRDefault="38769B0A"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0077472D" w:rsidRPr="005365AA" w14:paraId="242C9739" w14:textId="77777777" w:rsidTr="4DCF16DC">
        <w:trPr>
          <w:trHeight w:val="300"/>
        </w:trPr>
        <w:tc>
          <w:tcPr>
            <w:tcW w:w="3315" w:type="dxa"/>
            <w:hideMark/>
          </w:tcPr>
          <w:p w14:paraId="053EE5EA"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5906F99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7BA2809A" w14:textId="4AA86189" w:rsidR="0077472D" w:rsidRPr="005365AA" w:rsidRDefault="36E44CC7" w:rsidP="4DCF16DC">
            <w:pPr>
              <w:spacing w:before="240" w:after="240" w:line="240" w:lineRule="auto"/>
              <w:textAlignment w:val="baseline"/>
              <w:rPr>
                <w:rFonts w:eastAsiaTheme="minorEastAsia"/>
                <w:sz w:val="18"/>
                <w:szCs w:val="18"/>
                <w:lang w:val="en-US"/>
              </w:rPr>
            </w:pPr>
            <w:r w:rsidRPr="4DCF16DC">
              <w:rPr>
                <w:rFonts w:eastAsiaTheme="minorEastAsia"/>
                <w:sz w:val="18"/>
                <w:szCs w:val="18"/>
                <w:lang w:val="en-US"/>
              </w:rPr>
              <w:t xml:space="preserve">Background: It is well-established that, for adolescents to adopt sustainable healthy lifestyle behaviors, not only access to information but also the skills required to translate that information </w:t>
            </w:r>
            <w:r w:rsidRPr="4DCF16DC">
              <w:rPr>
                <w:rFonts w:eastAsiaTheme="minorEastAsia"/>
                <w:sz w:val="18"/>
                <w:szCs w:val="18"/>
              </w:rPr>
              <w:t xml:space="preserve">into action are critical. In this field, research that examines the relationship between e-health literacy and sustainable healthy lifestyle behaviors within the context of physical literacy is notably scarce. In this context, the aim of this study is to examine the effect of e-health literacy on a sustainable healthy lifestyle and to evaluate the mediating role of physical literacy in this relationship. Methods: A total of 835 adolescents from high schools across Türkiye voluntarily participated in this study. During the data collection process, </w:t>
            </w:r>
            <w:r w:rsidRPr="4DCF16DC">
              <w:rPr>
                <w:rFonts w:eastAsiaTheme="minorEastAsia"/>
                <w:sz w:val="18"/>
                <w:szCs w:val="18"/>
                <w:lang w:val="en-US"/>
              </w:rPr>
              <w:t xml:space="preserve">the e-Health Literacy Scale, the Perceived Physical Literacy Scale, and the Healthy and Sustainable Lifestyle Scale were utilized. Data were analyzed using the JASP (version 0.18.3.0) </w:t>
            </w:r>
            <w:r w:rsidRPr="4DCF16DC">
              <w:rPr>
                <w:rFonts w:eastAsiaTheme="minorEastAsia"/>
                <w:sz w:val="18"/>
                <w:szCs w:val="18"/>
              </w:rPr>
              <w:t xml:space="preserve">software. Correlation analysis and structural equation modeling were conducted, and the bootstrap method (n = 5000) was employed for mediation analysis. Results: The effect of e-health literacy on a sustainable healthy lifestyle was found to be positive and statistically significant (β = 0.452, p &lt; 0.001). Similarly, e-health literacy significantly predicted physical literacy (β = 0.755, p &lt; 0.001), and physical literacy significantly predicted a sustainable healthy lifestyle (β = 0.310, p &lt; 0.001). The mediating effect was also statistically significant (β = 0.234, p &lt; 0.001). The model explained 32% of the variance in healthy lifestyle behaviors. Conclusions: The findings indicate that evaluating e-health literacy and physical literacy together provides a holistic approach to fostering sustainable healthy lifestyle habits among </w:t>
            </w:r>
            <w:r w:rsidRPr="4DCF16DC">
              <w:rPr>
                <w:rFonts w:eastAsiaTheme="minorEastAsia"/>
                <w:sz w:val="18"/>
                <w:szCs w:val="18"/>
                <w:lang w:val="en-US"/>
              </w:rPr>
              <w:t>adolescents. It is recommended that intervention programs be structured to encompass both areas of competence.</w:t>
            </w:r>
          </w:p>
        </w:tc>
      </w:tr>
      <w:tr w:rsidR="0077472D" w:rsidRPr="005365AA" w14:paraId="4954A8A8" w14:textId="77777777" w:rsidTr="4DCF16DC">
        <w:trPr>
          <w:trHeight w:val="300"/>
        </w:trPr>
        <w:tc>
          <w:tcPr>
            <w:tcW w:w="3315" w:type="dxa"/>
            <w:hideMark/>
          </w:tcPr>
          <w:p w14:paraId="5DB2222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15D5E23B" w14:textId="504F07A0" w:rsidR="0077472D" w:rsidRPr="005365AA" w:rsidRDefault="7FC401CC" w:rsidP="4DCF16DC">
            <w:pPr>
              <w:spacing w:before="240" w:after="240" w:line="240" w:lineRule="auto"/>
              <w:textAlignment w:val="baseline"/>
              <w:rPr>
                <w:rFonts w:eastAsiaTheme="minorEastAsia"/>
                <w:sz w:val="18"/>
                <w:szCs w:val="18"/>
              </w:rPr>
            </w:pPr>
            <w:r w:rsidRPr="4DCF16DC">
              <w:rPr>
                <w:rFonts w:eastAsiaTheme="minorEastAsia"/>
                <w:sz w:val="18"/>
                <w:szCs w:val="18"/>
              </w:rPr>
              <w:t>e-</w:t>
            </w:r>
            <w:r w:rsidR="1922C72B" w:rsidRPr="4DCF16DC">
              <w:rPr>
                <w:rFonts w:eastAsiaTheme="minorEastAsia"/>
                <w:sz w:val="18"/>
                <w:szCs w:val="18"/>
              </w:rPr>
              <w:t xml:space="preserve"> </w:t>
            </w:r>
            <w:r w:rsidR="1922C72B" w:rsidRPr="4DCF16DC">
              <w:rPr>
                <w:rFonts w:eastAsiaTheme="minorEastAsia"/>
                <w:color w:val="1F1F1F"/>
                <w:sz w:val="18"/>
                <w:szCs w:val="18"/>
                <w:lang w:val="hr"/>
              </w:rPr>
              <w:t>zdravstvena pismenost; tjelesna pismenost; održivi zdrav način života; adolescenti; zdravstveno ponašanje; zdravstveni odgoj; model medijacije</w:t>
            </w:r>
          </w:p>
        </w:tc>
      </w:tr>
      <w:tr w:rsidR="0077472D" w:rsidRPr="005365AA" w14:paraId="629D264A" w14:textId="77777777" w:rsidTr="4DCF16DC">
        <w:trPr>
          <w:trHeight w:val="300"/>
        </w:trPr>
        <w:tc>
          <w:tcPr>
            <w:tcW w:w="3315" w:type="dxa"/>
            <w:hideMark/>
          </w:tcPr>
          <w:p w14:paraId="4FD709D9"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07A1BB5A" w14:textId="1DD55063" w:rsidR="0077472D" w:rsidRPr="005365AA" w:rsidRDefault="1F80B2FD" w:rsidP="4DCF16DC">
            <w:pPr>
              <w:spacing w:after="0" w:line="240" w:lineRule="auto"/>
              <w:textAlignment w:val="baseline"/>
              <w:rPr>
                <w:rFonts w:eastAsiaTheme="minorEastAsia"/>
                <w:sz w:val="18"/>
                <w:szCs w:val="18"/>
              </w:rPr>
            </w:pPr>
            <w:r w:rsidRPr="4DCF16DC">
              <w:rPr>
                <w:rFonts w:eastAsiaTheme="minorEastAsia"/>
                <w:color w:val="1F1F1F"/>
                <w:sz w:val="18"/>
                <w:szCs w:val="18"/>
                <w:lang w:val="hr"/>
              </w:rPr>
              <w:t>Rad predstavlja studiju koja ispituje posredničku ulogu tjelesne pismenosti u odnosu između pismenosti u e-zdravlju i održivih zdravih načina života među adolescentima. Studija naglašava potrebu za kombiniranim pristupom e-zdravlju i tjelesnoj pismenosti u promicanju održivih zdravih načina života.</w:t>
            </w:r>
            <w:r w:rsidR="0B81FBA1">
              <w:br/>
            </w:r>
            <w:r w:rsidRPr="4DCF16DC">
              <w:rPr>
                <w:rFonts w:eastAsiaTheme="minorEastAsia"/>
                <w:color w:val="1F1F1F"/>
                <w:sz w:val="18"/>
                <w:szCs w:val="18"/>
                <w:lang w:val="hr"/>
              </w:rPr>
              <w:t>Nudi novu teorijsku perspektivu promatrajući tjelesnu pismenost kao pokretač ponašanja. Buduća istraživanja trebala bi istražiti ove odnose longitudinalno i u različitim kulturnim kontekstima kako bi se razjasnili uzročno-posljedični odnosi.</w:t>
            </w:r>
          </w:p>
        </w:tc>
      </w:tr>
      <w:tr w:rsidR="0077472D" w:rsidRPr="005365AA" w14:paraId="6B5561AC" w14:textId="77777777" w:rsidTr="4DCF16DC">
        <w:trPr>
          <w:trHeight w:val="300"/>
        </w:trPr>
        <w:tc>
          <w:tcPr>
            <w:tcW w:w="3315" w:type="dxa"/>
            <w:hideMark/>
          </w:tcPr>
          <w:p w14:paraId="41D2C05F"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4D2ACE09"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6A18D7CC" w14:textId="71D8AB41" w:rsidR="0077472D" w:rsidRPr="005365AA" w:rsidRDefault="13932F4D" w:rsidP="4DCF16DC">
            <w:pPr>
              <w:spacing w:after="0" w:line="240" w:lineRule="auto"/>
              <w:textAlignment w:val="baseline"/>
              <w:rPr>
                <w:rFonts w:eastAsiaTheme="minorEastAsia"/>
                <w:color w:val="1F1F1F"/>
                <w:sz w:val="18"/>
                <w:szCs w:val="18"/>
                <w:lang w:val="hr"/>
              </w:rPr>
            </w:pPr>
            <w:r w:rsidRPr="4DCF16DC">
              <w:rPr>
                <w:rFonts w:eastAsiaTheme="minorEastAsia"/>
                <w:color w:val="1F1F1F"/>
                <w:sz w:val="18"/>
                <w:szCs w:val="18"/>
                <w:lang w:val="hr"/>
              </w:rPr>
              <w:t>Model je objasnio 32% varijance u zdravim životnim navikama među adolescentima.</w:t>
            </w:r>
            <w:r w:rsidR="02FF73D4">
              <w:br/>
            </w:r>
            <w:r w:rsidRPr="4DCF16DC">
              <w:rPr>
                <w:rFonts w:eastAsiaTheme="minorEastAsia"/>
                <w:color w:val="1F1F1F"/>
                <w:sz w:val="18"/>
                <w:szCs w:val="18"/>
                <w:lang w:val="hr"/>
              </w:rPr>
              <w:t>Značajne pozitivne veze pronađene su između pismenosti u e-zdravstvu, tjelesne pismenosti i održivih zdravih životnih navika.</w:t>
            </w:r>
            <w:r w:rsidR="02FF73D4">
              <w:br/>
            </w:r>
            <w:r w:rsidRPr="4DCF16DC">
              <w:rPr>
                <w:rFonts w:eastAsiaTheme="minorEastAsia"/>
                <w:color w:val="1F1F1F"/>
                <w:sz w:val="18"/>
                <w:szCs w:val="18"/>
                <w:lang w:val="hr"/>
              </w:rPr>
              <w:t>Prosječni rezultati za sve konstrukte kretali su se od 3,19 do 3,71 na 5-stupanjskoj Likertovoj ljestvici, što ukazuje na umjereno visoke razine kompetencije u tim područjima.</w:t>
            </w:r>
          </w:p>
          <w:p w14:paraId="03A50506" w14:textId="04DD436E" w:rsidR="0077472D" w:rsidRPr="005365AA" w:rsidRDefault="1D35DE27" w:rsidP="4DCF16DC">
            <w:pPr>
              <w:spacing w:after="0" w:line="240" w:lineRule="auto"/>
              <w:textAlignment w:val="baseline"/>
              <w:rPr>
                <w:rFonts w:eastAsiaTheme="minorEastAsia"/>
                <w:color w:val="1F1F1F"/>
                <w:sz w:val="18"/>
                <w:szCs w:val="18"/>
                <w:lang w:val="hr"/>
              </w:rPr>
            </w:pPr>
            <w:r w:rsidRPr="4DCF16DC">
              <w:rPr>
                <w:rFonts w:eastAsiaTheme="minorEastAsia"/>
                <w:color w:val="1F1F1F"/>
                <w:sz w:val="18"/>
                <w:szCs w:val="18"/>
                <w:lang w:val="hr"/>
              </w:rPr>
              <w:t>Izravni učinak e-zdravstvene pismenosti (EHL) na održivi zdravi način života (SHL) je značajan (β = 0,452).</w:t>
            </w:r>
            <w:r w:rsidR="5643593A">
              <w:br/>
            </w:r>
            <w:r w:rsidRPr="4DCF16DC">
              <w:rPr>
                <w:rFonts w:eastAsiaTheme="minorEastAsia"/>
                <w:color w:val="1F1F1F"/>
                <w:sz w:val="18"/>
                <w:szCs w:val="18"/>
                <w:lang w:val="hr"/>
              </w:rPr>
              <w:t>EHL značajno predviđa tjelesnu pismenost (TL) s jakim učinkom (β = 0,755). ​</w:t>
            </w:r>
            <w:r w:rsidR="5643593A">
              <w:br/>
            </w:r>
            <w:r w:rsidRPr="4DCF16DC">
              <w:rPr>
                <w:rFonts w:eastAsiaTheme="minorEastAsia"/>
                <w:color w:val="1F1F1F"/>
                <w:sz w:val="18"/>
                <w:szCs w:val="18"/>
                <w:lang w:val="hr"/>
              </w:rPr>
              <w:t>TL također ima značajan izravan učinak na SHL (β = 0,310). ​</w:t>
            </w:r>
            <w:r w:rsidR="5643593A">
              <w:br/>
            </w:r>
            <w:r w:rsidRPr="4DCF16DC">
              <w:rPr>
                <w:rFonts w:eastAsiaTheme="minorEastAsia"/>
                <w:color w:val="1F1F1F"/>
                <w:sz w:val="18"/>
                <w:szCs w:val="18"/>
                <w:lang w:val="hr"/>
              </w:rPr>
              <w:t>Neizravni učinak EHL na SHL putem PL je značajan (β = 0,234), što ukazuje na djelomičnu medijaciju. ​</w:t>
            </w:r>
            <w:r w:rsidR="5643593A">
              <w:br/>
            </w:r>
            <w:r w:rsidRPr="4DCF16DC">
              <w:rPr>
                <w:rFonts w:eastAsiaTheme="minorEastAsia"/>
                <w:color w:val="1F1F1F"/>
                <w:sz w:val="18"/>
                <w:szCs w:val="18"/>
                <w:lang w:val="hr"/>
              </w:rPr>
              <w:t>EHL i PL zajedno objašnjavaju 32% varijance u SHL, dok EHL objašnjava 31% varijance u PL.</w:t>
            </w:r>
          </w:p>
          <w:p w14:paraId="5BE25593" w14:textId="191BCE03" w:rsidR="0077472D" w:rsidRPr="005365AA" w:rsidRDefault="6B480DFA" w:rsidP="4DCF16DC">
            <w:pPr>
              <w:spacing w:after="0" w:line="240" w:lineRule="auto"/>
              <w:textAlignment w:val="baseline"/>
              <w:rPr>
                <w:rFonts w:eastAsiaTheme="minorEastAsia"/>
                <w:color w:val="1F1F1F"/>
                <w:sz w:val="18"/>
                <w:szCs w:val="18"/>
                <w:lang w:val="hr"/>
              </w:rPr>
            </w:pPr>
            <w:r w:rsidRPr="4DCF16DC">
              <w:rPr>
                <w:rFonts w:eastAsiaTheme="minorEastAsia"/>
                <w:color w:val="1F1F1F"/>
                <w:sz w:val="18"/>
                <w:szCs w:val="18"/>
                <w:lang w:val="hr"/>
              </w:rPr>
              <w:t>Studija potvrđuje predložene hipoteze o odnosima između pismenosti u e-zdravstvu, tjelesne pismenosti i održivog zdravog načina života.</w:t>
            </w:r>
            <w:r w:rsidR="379535D9">
              <w:br/>
            </w:r>
            <w:r w:rsidRPr="4DCF16DC">
              <w:rPr>
                <w:rFonts w:eastAsiaTheme="minorEastAsia"/>
                <w:color w:val="1F1F1F"/>
                <w:sz w:val="18"/>
                <w:szCs w:val="18"/>
                <w:lang w:val="hr"/>
              </w:rPr>
              <w:t>H1: EHL pozitivno se odnosi na SHL, što podržava značajan izravni učinak.</w:t>
            </w:r>
            <w:r w:rsidR="379535D9">
              <w:br/>
            </w:r>
            <w:r w:rsidRPr="4DCF16DC">
              <w:rPr>
                <w:rFonts w:eastAsiaTheme="minorEastAsia"/>
                <w:color w:val="1F1F1F"/>
                <w:sz w:val="18"/>
                <w:szCs w:val="18"/>
                <w:lang w:val="hr"/>
              </w:rPr>
              <w:t>H2: EHL pozitivno predviđa PL, što potvrđuje snažan učinak.</w:t>
            </w:r>
            <w:r w:rsidR="379535D9">
              <w:br/>
            </w:r>
            <w:r w:rsidRPr="4DCF16DC">
              <w:rPr>
                <w:rFonts w:eastAsiaTheme="minorEastAsia"/>
                <w:color w:val="1F1F1F"/>
                <w:sz w:val="18"/>
                <w:szCs w:val="18"/>
                <w:lang w:val="hr"/>
              </w:rPr>
              <w:t>H3: PL pozitivno predviđa SHL, što potvrđuje značajan izravni učinak.</w:t>
            </w:r>
            <w:r w:rsidR="379535D9">
              <w:br/>
            </w:r>
            <w:r w:rsidRPr="4DCF16DC">
              <w:rPr>
                <w:rFonts w:eastAsiaTheme="minorEastAsia"/>
                <w:color w:val="1F1F1F"/>
                <w:sz w:val="18"/>
                <w:szCs w:val="18"/>
                <w:lang w:val="hr"/>
              </w:rPr>
              <w:t>H4: PL posreduje u odnosu između EHL i SHL, što podržavaju značajni neizravni učinci</w:t>
            </w:r>
            <w:r w:rsidR="61C122B6" w:rsidRPr="4DCF16DC">
              <w:rPr>
                <w:rFonts w:eastAsiaTheme="minorEastAsia"/>
                <w:color w:val="1F1F1F"/>
                <w:sz w:val="18"/>
                <w:szCs w:val="18"/>
                <w:lang w:val="hr"/>
              </w:rPr>
              <w:t>.</w:t>
            </w:r>
          </w:p>
          <w:p w14:paraId="7E2EFAB8" w14:textId="064AD3E9" w:rsidR="0077472D" w:rsidRPr="005365AA" w:rsidRDefault="0077472D" w:rsidP="4DCF16DC">
            <w:pPr>
              <w:spacing w:after="0" w:line="240" w:lineRule="auto"/>
              <w:textAlignment w:val="baseline"/>
              <w:rPr>
                <w:rFonts w:eastAsiaTheme="minorEastAsia"/>
                <w:color w:val="1F1F1F"/>
                <w:sz w:val="18"/>
                <w:szCs w:val="18"/>
                <w:lang w:val="hr"/>
              </w:rPr>
            </w:pPr>
          </w:p>
        </w:tc>
      </w:tr>
      <w:tr w:rsidR="0077472D" w:rsidRPr="005365AA" w14:paraId="2ECCD030" w14:textId="77777777" w:rsidTr="4DCF16DC">
        <w:trPr>
          <w:trHeight w:val="300"/>
        </w:trPr>
        <w:tc>
          <w:tcPr>
            <w:tcW w:w="3315" w:type="dxa"/>
            <w:hideMark/>
          </w:tcPr>
          <w:p w14:paraId="4590F500"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6513E20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46D32F5D" w14:textId="615CEDF7" w:rsidR="0077472D" w:rsidRPr="005365AA" w:rsidRDefault="0FDB4366" w:rsidP="4DCF16DC">
            <w:pPr>
              <w:spacing w:after="0" w:line="240" w:lineRule="auto"/>
              <w:textAlignment w:val="baseline"/>
              <w:rPr>
                <w:rFonts w:eastAsiaTheme="minorEastAsia"/>
                <w:sz w:val="18"/>
                <w:szCs w:val="18"/>
              </w:rPr>
            </w:pPr>
            <w:r w:rsidRPr="4DCF16DC">
              <w:rPr>
                <w:rFonts w:eastAsiaTheme="minorEastAsia"/>
                <w:color w:val="1F1F1F"/>
                <w:sz w:val="18"/>
                <w:szCs w:val="18"/>
                <w:lang w:val="hr"/>
              </w:rPr>
              <w:t xml:space="preserve">MentiFit projektu mogu poslužiti </w:t>
            </w:r>
            <w:r w:rsidR="30B89B0B" w:rsidRPr="4DCF16DC">
              <w:rPr>
                <w:rFonts w:eastAsiaTheme="minorEastAsia"/>
                <w:color w:val="1F1F1F"/>
                <w:sz w:val="18"/>
                <w:szCs w:val="18"/>
                <w:lang w:val="hr"/>
              </w:rPr>
              <w:t xml:space="preserve">reporuke </w:t>
            </w:r>
            <w:r w:rsidR="41FAF025" w:rsidRPr="4DCF16DC">
              <w:rPr>
                <w:rFonts w:eastAsiaTheme="minorEastAsia"/>
                <w:color w:val="1F1F1F"/>
                <w:sz w:val="18"/>
                <w:szCs w:val="18"/>
                <w:lang w:val="hr"/>
              </w:rPr>
              <w:t>temeljem rezultata istraživanja</w:t>
            </w:r>
            <w:r w:rsidR="30B89B0B" w:rsidRPr="4DCF16DC">
              <w:rPr>
                <w:rFonts w:eastAsiaTheme="minorEastAsia"/>
                <w:color w:val="1F1F1F"/>
                <w:sz w:val="18"/>
                <w:szCs w:val="18"/>
                <w:lang w:val="hr"/>
              </w:rPr>
              <w:t>za poboljšanje e-zdravstva i tjelesne pismenosti u obrazovnim i zdravstvenim intervencijama.</w:t>
            </w:r>
            <w:r w:rsidR="25868A87">
              <w:br/>
            </w:r>
            <w:r w:rsidR="1B0810E7" w:rsidRPr="4DCF16DC">
              <w:rPr>
                <w:rFonts w:eastAsiaTheme="minorEastAsia"/>
                <w:color w:val="1F1F1F"/>
                <w:sz w:val="18"/>
                <w:szCs w:val="18"/>
                <w:lang w:val="hr"/>
              </w:rPr>
              <w:t>Edukatori</w:t>
            </w:r>
            <w:r w:rsidR="30B89B0B" w:rsidRPr="4DCF16DC">
              <w:rPr>
                <w:rFonts w:eastAsiaTheme="minorEastAsia"/>
                <w:color w:val="1F1F1F"/>
                <w:sz w:val="18"/>
                <w:szCs w:val="18"/>
                <w:lang w:val="hr"/>
              </w:rPr>
              <w:t xml:space="preserve"> i kreatori politika trebali bi integrirati e-zdravstvo i tjelesnu pismenost u programe usmjerene na adolescente.</w:t>
            </w:r>
            <w:r w:rsidR="25868A87">
              <w:br/>
            </w:r>
            <w:r w:rsidR="30B89B0B" w:rsidRPr="4DCF16DC">
              <w:rPr>
                <w:rFonts w:eastAsiaTheme="minorEastAsia"/>
                <w:color w:val="1F1F1F"/>
                <w:sz w:val="18"/>
                <w:szCs w:val="18"/>
                <w:lang w:val="hr"/>
              </w:rPr>
              <w:t>Školski kurikulumi trebali bi se usredotočiti na razvoj digitalnih zdravstvenih kompetencija i tjelesnih vještina za holistički razvoj mladih.</w:t>
            </w:r>
          </w:p>
        </w:tc>
      </w:tr>
      <w:tr w:rsidR="0077472D" w:rsidRPr="005365AA" w14:paraId="00EE8913" w14:textId="77777777" w:rsidTr="4DCF16DC">
        <w:trPr>
          <w:trHeight w:val="300"/>
        </w:trPr>
        <w:tc>
          <w:tcPr>
            <w:tcW w:w="3315" w:type="dxa"/>
            <w:hideMark/>
          </w:tcPr>
          <w:p w14:paraId="025B8D45"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0D473CA7" w14:textId="54BD7183" w:rsidR="0077472D" w:rsidRPr="005365AA" w:rsidRDefault="5571FA56" w:rsidP="4DCF16DC">
            <w:pPr>
              <w:spacing w:after="0" w:line="240" w:lineRule="auto"/>
              <w:textAlignment w:val="baseline"/>
              <w:rPr>
                <w:rFonts w:eastAsiaTheme="minorEastAsia"/>
                <w:sz w:val="18"/>
                <w:szCs w:val="18"/>
              </w:rPr>
            </w:pPr>
            <w:r w:rsidRPr="4DCF16DC">
              <w:rPr>
                <w:rFonts w:eastAsiaTheme="minorEastAsia"/>
                <w:color w:val="1F1F1F"/>
                <w:sz w:val="18"/>
                <w:szCs w:val="18"/>
                <w:lang w:val="hr"/>
              </w:rPr>
              <w:t>Studija prepoznaje nekoliko ograničenja koja mogu utjecati na nalaze i njihovu generalizaciju.</w:t>
            </w:r>
            <w:r w:rsidR="296D17A9" w:rsidRPr="4DCF16DC">
              <w:rPr>
                <w:rFonts w:eastAsiaTheme="minorEastAsia"/>
                <w:color w:val="1F1F1F"/>
                <w:sz w:val="18"/>
                <w:szCs w:val="18"/>
                <w:lang w:val="hr"/>
              </w:rPr>
              <w:t xml:space="preserve"> </w:t>
            </w:r>
            <w:r w:rsidRPr="4DCF16DC">
              <w:rPr>
                <w:rFonts w:eastAsiaTheme="minorEastAsia"/>
                <w:color w:val="1F1F1F"/>
                <w:sz w:val="18"/>
                <w:szCs w:val="18"/>
                <w:lang w:val="hr"/>
              </w:rPr>
              <w:t>Krossekcijski dizajn ograničava uzročne zaključke; za buduća istraživanja preporučuju se longitudinalne studije.</w:t>
            </w:r>
            <w:r w:rsidR="159EA99A" w:rsidRPr="4DCF16DC">
              <w:rPr>
                <w:rFonts w:eastAsiaTheme="minorEastAsia"/>
                <w:color w:val="1F1F1F"/>
                <w:sz w:val="18"/>
                <w:szCs w:val="18"/>
                <w:lang w:val="hr"/>
              </w:rPr>
              <w:t xml:space="preserve"> </w:t>
            </w:r>
            <w:r w:rsidRPr="4DCF16DC">
              <w:rPr>
                <w:rFonts w:eastAsiaTheme="minorEastAsia"/>
                <w:color w:val="1F1F1F"/>
                <w:sz w:val="18"/>
                <w:szCs w:val="18"/>
                <w:lang w:val="hr"/>
              </w:rPr>
              <w:t>Podaci samoprocjene mogu unijeti pristranost, a tjelesna pismenost mjerena je samo na temelju percepcije.</w:t>
            </w:r>
            <w:r w:rsidR="4E95AA8C" w:rsidRPr="4DCF16DC">
              <w:rPr>
                <w:rFonts w:eastAsiaTheme="minorEastAsia"/>
                <w:color w:val="1F1F1F"/>
                <w:sz w:val="18"/>
                <w:szCs w:val="18"/>
                <w:lang w:val="hr"/>
              </w:rPr>
              <w:t xml:space="preserve"> </w:t>
            </w:r>
            <w:r w:rsidRPr="4DCF16DC">
              <w:rPr>
                <w:rFonts w:eastAsiaTheme="minorEastAsia"/>
                <w:color w:val="1F1F1F"/>
                <w:sz w:val="18"/>
                <w:szCs w:val="18"/>
                <w:lang w:val="hr"/>
              </w:rPr>
              <w:t>Uzorak je bio ograničen na srednjoškolce u određenoj regiji Turske, što utječe na generalizaciju.</w:t>
            </w:r>
          </w:p>
        </w:tc>
      </w:tr>
    </w:tbl>
    <w:p w14:paraId="4C52C6B2" w14:textId="5A0D3D10" w:rsidR="0077472D" w:rsidRDefault="0077472D" w:rsidP="005365AA"/>
    <w:p w14:paraId="48EC6EF9" w14:textId="316A34E7"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2"/>
        <w:gridCol w:w="6540"/>
      </w:tblGrid>
      <w:tr w:rsidR="0077472D" w:rsidRPr="005365AA" w14:paraId="193E9B39" w14:textId="77777777" w:rsidTr="4DCF16DC">
        <w:trPr>
          <w:trHeight w:val="300"/>
        </w:trPr>
        <w:tc>
          <w:tcPr>
            <w:tcW w:w="3315" w:type="dxa"/>
            <w:hideMark/>
          </w:tcPr>
          <w:p w14:paraId="0657C47B" w14:textId="0EB478D5"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701964D8" w14:textId="14C7C2DC" w:rsidR="0077472D" w:rsidRPr="005365AA" w:rsidRDefault="0ABEC7BA" w:rsidP="4DCF16DC">
            <w:pPr>
              <w:spacing w:after="0" w:line="240" w:lineRule="auto"/>
              <w:textAlignment w:val="baseline"/>
              <w:rPr>
                <w:rFonts w:eastAsiaTheme="minorEastAsia"/>
                <w:sz w:val="18"/>
                <w:szCs w:val="18"/>
                <w:lang w:val="en-US"/>
              </w:rPr>
            </w:pPr>
            <w:r w:rsidRPr="4DCF16DC">
              <w:rPr>
                <w:rFonts w:eastAsiaTheme="minorEastAsia"/>
                <w:color w:val="222222"/>
                <w:sz w:val="18"/>
                <w:szCs w:val="18"/>
                <w:lang w:val="en-US"/>
              </w:rPr>
              <w:t xml:space="preserve">Sousa, A. C., Ferrinho, S. N., &amp; Travassos, B. (2023). The Use of Wearable Technologies in the Assessment of Physical Activity in Preschool- and School-Age Youth: Systematic Review. </w:t>
            </w:r>
            <w:r w:rsidRPr="4DCF16DC">
              <w:rPr>
                <w:rFonts w:eastAsiaTheme="minorEastAsia"/>
                <w:i/>
                <w:iCs/>
                <w:color w:val="222222"/>
                <w:sz w:val="18"/>
                <w:szCs w:val="18"/>
                <w:lang w:val="en-US"/>
              </w:rPr>
              <w:t>International Journal of Environmental Research and Public Health</w:t>
            </w:r>
            <w:r w:rsidRPr="4DCF16DC">
              <w:rPr>
                <w:rFonts w:eastAsiaTheme="minorEastAsia"/>
                <w:color w:val="222222"/>
                <w:sz w:val="18"/>
                <w:szCs w:val="18"/>
                <w:lang w:val="en-US"/>
              </w:rPr>
              <w:t xml:space="preserve">, </w:t>
            </w:r>
            <w:r w:rsidRPr="4DCF16DC">
              <w:rPr>
                <w:rFonts w:eastAsiaTheme="minorEastAsia"/>
                <w:i/>
                <w:iCs/>
                <w:color w:val="222222"/>
                <w:sz w:val="18"/>
                <w:szCs w:val="18"/>
                <w:lang w:val="en-US"/>
              </w:rPr>
              <w:t>20</w:t>
            </w:r>
            <w:r w:rsidRPr="4DCF16DC">
              <w:rPr>
                <w:rFonts w:eastAsiaTheme="minorEastAsia"/>
                <w:color w:val="222222"/>
                <w:sz w:val="18"/>
                <w:szCs w:val="18"/>
                <w:lang w:val="en-US"/>
              </w:rPr>
              <w:t>(4), 3402. https://doi.org/10.3390/ijerph20043402</w:t>
            </w:r>
          </w:p>
        </w:tc>
      </w:tr>
      <w:tr w:rsidR="0077472D" w:rsidRPr="005365AA" w14:paraId="77FFDD46" w14:textId="77777777" w:rsidTr="4DCF16DC">
        <w:trPr>
          <w:trHeight w:val="300"/>
        </w:trPr>
        <w:tc>
          <w:tcPr>
            <w:tcW w:w="3315" w:type="dxa"/>
            <w:hideMark/>
          </w:tcPr>
          <w:p w14:paraId="11D58AC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483A19E2" w14:textId="40FA8F80" w:rsidR="0077472D" w:rsidRPr="005365AA" w:rsidRDefault="07BBAA17"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https://www.mdpi.com/1660-4601/20/4/3402</w:t>
            </w:r>
          </w:p>
        </w:tc>
      </w:tr>
      <w:tr w:rsidR="0077472D" w:rsidRPr="005365AA" w14:paraId="0BE7D084" w14:textId="77777777" w:rsidTr="4DCF16DC">
        <w:trPr>
          <w:trHeight w:val="300"/>
        </w:trPr>
        <w:tc>
          <w:tcPr>
            <w:tcW w:w="3315" w:type="dxa"/>
            <w:hideMark/>
          </w:tcPr>
          <w:p w14:paraId="2DD8AF0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6CBF8F42" w14:textId="265733C6" w:rsidR="0077472D" w:rsidRPr="005365AA" w:rsidRDefault="07BBAA17"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Mjerenje tjelesne aktivnosti</w:t>
            </w:r>
          </w:p>
        </w:tc>
      </w:tr>
      <w:tr w:rsidR="0077472D" w:rsidRPr="005365AA" w14:paraId="6BBF513B" w14:textId="77777777" w:rsidTr="4DCF16DC">
        <w:trPr>
          <w:trHeight w:val="300"/>
        </w:trPr>
        <w:tc>
          <w:tcPr>
            <w:tcW w:w="3315" w:type="dxa"/>
          </w:tcPr>
          <w:p w14:paraId="5736FD0B"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73966576" w14:textId="38BC4157" w:rsidR="0077472D" w:rsidRPr="005365AA" w:rsidRDefault="28F223C6"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Jelena Gerjević</w:t>
            </w:r>
          </w:p>
        </w:tc>
      </w:tr>
      <w:tr w:rsidR="0077472D" w:rsidRPr="005365AA" w14:paraId="5FA3E12B" w14:textId="77777777" w:rsidTr="4DCF16DC">
        <w:trPr>
          <w:trHeight w:val="300"/>
        </w:trPr>
        <w:tc>
          <w:tcPr>
            <w:tcW w:w="3315" w:type="dxa"/>
            <w:hideMark/>
          </w:tcPr>
          <w:p w14:paraId="259C3DE5"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75FF3E99"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5C116D90"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3A5226D"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112685C5"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0DE685B3" w14:textId="29238B03" w:rsidR="0077472D" w:rsidRPr="005365AA" w:rsidRDefault="28F223C6" w:rsidP="4DCF16DC">
            <w:pPr>
              <w:spacing w:after="0" w:line="240" w:lineRule="exact"/>
              <w:textAlignment w:val="baseline"/>
              <w:rPr>
                <w:rFonts w:eastAsiaTheme="minorEastAsia"/>
                <w:b/>
                <w:bCs/>
                <w:color w:val="4472C4"/>
                <w:sz w:val="18"/>
                <w:szCs w:val="18"/>
                <w:lang w:eastAsia="hr-HR"/>
              </w:rPr>
            </w:pPr>
            <w:r w:rsidRPr="4DCF16DC">
              <w:rPr>
                <w:rFonts w:eastAsiaTheme="minorEastAsia"/>
                <w:b/>
                <w:bCs/>
                <w:color w:val="4472C4" w:themeColor="accent1"/>
                <w:sz w:val="18"/>
                <w:szCs w:val="18"/>
                <w:lang w:eastAsia="hr-HR"/>
              </w:rPr>
              <w:t>4</w:t>
            </w:r>
          </w:p>
        </w:tc>
      </w:tr>
      <w:tr w:rsidR="0077472D" w:rsidRPr="005365AA" w14:paraId="4078AC9D" w14:textId="77777777" w:rsidTr="4DCF16DC">
        <w:trPr>
          <w:trHeight w:val="300"/>
        </w:trPr>
        <w:tc>
          <w:tcPr>
            <w:tcW w:w="3315" w:type="dxa"/>
            <w:hideMark/>
          </w:tcPr>
          <w:p w14:paraId="2D0210DB"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434D5A0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0984A348" w14:textId="4F547A99" w:rsidR="0077472D" w:rsidRPr="005365AA" w:rsidRDefault="07BBAA17"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In recent years, physical activity assessment has increasingly relied on wearable monitors to provide measures for surveillance, intervention, and epidemiological research. This present systematic review aimed to examine the current research about the utilization of wearable technology in the evaluation in physical activities of preschool- and school-age children. A database search (Web of Science, PubMed and Scopus) for original research articles was performed. A total of twenty-one articles met the inclusion criteria, and the Cochrane risk of bias tool was used. Wearable technology can actually be a very important instrument/tool to detect the movements and monitor the physical activity of children and adolescents. The results revealed that there are a few studies on the influence of these technologies on physical activity in schools, and most of them are descriptive. In line with previous research, the wearable devices can be used as a motivational tool to improve PA behaviors and in the evaluation of PA interventions. However, the different reliability levels of the different devices used in the studies can compromise the analysis and understanding of the results.</w:t>
            </w:r>
          </w:p>
        </w:tc>
      </w:tr>
      <w:tr w:rsidR="0077472D" w:rsidRPr="005365AA" w14:paraId="7E47CD37" w14:textId="77777777" w:rsidTr="4DCF16DC">
        <w:trPr>
          <w:trHeight w:val="300"/>
        </w:trPr>
        <w:tc>
          <w:tcPr>
            <w:tcW w:w="3315" w:type="dxa"/>
            <w:hideMark/>
          </w:tcPr>
          <w:p w14:paraId="7082EA5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6965B7C4" w14:textId="7E594568" w:rsidR="0077472D" w:rsidRPr="005365AA" w:rsidRDefault="023C169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wearable device; physical activity; assessment; children; preschool; school</w:t>
            </w:r>
          </w:p>
        </w:tc>
      </w:tr>
      <w:tr w:rsidR="0077472D" w:rsidRPr="005365AA" w14:paraId="0F7C5BB0" w14:textId="77777777" w:rsidTr="4DCF16DC">
        <w:trPr>
          <w:trHeight w:val="300"/>
        </w:trPr>
        <w:tc>
          <w:tcPr>
            <w:tcW w:w="3315" w:type="dxa"/>
            <w:hideMark/>
          </w:tcPr>
          <w:p w14:paraId="2398B037"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33AD03ED" w14:textId="714B7FCD" w:rsidR="0077472D" w:rsidRPr="005365AA" w:rsidRDefault="40DB9CC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Ovaj sustavni pregled ima za cilj analizirati postojeća istraživanja o korištenju nosivih tehnologija za procjenu tjelesne aktivnosti kod djece predškolske i školske dobi. Autori su analizirali 21 empirijsku studiju objavljenu između 2001. i 2020. godine, koje su provedene u školskom kontekstu (tjelesni odgoj, odmor, školske aktivnosti) i koristile pedometre ili akcelerometre za objektivno mjerenje kretanja. Većina uključenih studija bila je deskriptivnog karaktera i usmjerena na mjerenje razine, intenziteta i obrazaca tjelesne aktivnosti, dok je manji broj studija uključivao intervencije ili evaluaciju motivacijskih učinaka tehnologije. Rezultati pokazuju veliku heterogenost u korištenim uređajima, mjernim protokolima i ishodima, što otežava usporedbu nalaza i donošenje jasnih preporuka. Ipak, autori zaključuju da su nosivi uređaji vrijedan alat za objektivno praćenje tjelesne aktivnosti djece, osobito u školskom okruženju, uz napomenu da je potrebna standardizacija metodologije i veći broj intervencijskih studija.</w:t>
            </w:r>
          </w:p>
        </w:tc>
      </w:tr>
      <w:tr w:rsidR="0077472D" w:rsidRPr="005365AA" w14:paraId="3440D349" w14:textId="77777777" w:rsidTr="4DCF16DC">
        <w:trPr>
          <w:trHeight w:val="300"/>
        </w:trPr>
        <w:tc>
          <w:tcPr>
            <w:tcW w:w="3315" w:type="dxa"/>
            <w:hideMark/>
          </w:tcPr>
          <w:p w14:paraId="30D63872"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25402829"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29516FF5" w14:textId="62227DB3" w:rsidR="0077472D" w:rsidRPr="005365AA" w:rsidRDefault="796A2D8F"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Nalazi pokazuju da se nosive tehnologije, osobito akcelerometri, široko koriste za objektivno mjerenje tjelesne aktivnosti djece te da omogućuju detaljan uvid u trajanje, učestalost i intenzitet kretanja tijekom školskog dana. Većina studija pokazuje da djeca značajan dio školskog vremena provode u umjereno do </w:t>
            </w:r>
            <w:r w:rsidR="697E2CD1" w:rsidRPr="4DCF16DC">
              <w:rPr>
                <w:rFonts w:eastAsiaTheme="minorEastAsia"/>
                <w:sz w:val="18"/>
                <w:szCs w:val="18"/>
                <w:lang w:eastAsia="hr-HR"/>
              </w:rPr>
              <w:t>visok</w:t>
            </w:r>
            <w:r w:rsidRPr="4DCF16DC">
              <w:rPr>
                <w:rFonts w:eastAsiaTheme="minorEastAsia"/>
                <w:sz w:val="18"/>
                <w:szCs w:val="18"/>
                <w:lang w:eastAsia="hr-HR"/>
              </w:rPr>
              <w:t xml:space="preserve">o intenzivnoj tjelesnoj aktivnosti, osobito tijekom tjelesnog odgoja i školskih odmora, dok su razine aktivnosti niže izvan strukturiranih aktivnosti. Uočene su dosljedne razlike između dječaka i djevojčica, pri čemu dječaci u prosjeku provode više vremena u </w:t>
            </w:r>
            <w:r w:rsidR="4CE1C89E" w:rsidRPr="4DCF16DC">
              <w:rPr>
                <w:rFonts w:eastAsiaTheme="minorEastAsia"/>
                <w:sz w:val="18"/>
                <w:szCs w:val="18"/>
                <w:lang w:eastAsia="hr-HR"/>
              </w:rPr>
              <w:t>visokointenzivnim</w:t>
            </w:r>
            <w:r w:rsidRPr="4DCF16DC">
              <w:rPr>
                <w:rFonts w:eastAsiaTheme="minorEastAsia"/>
                <w:sz w:val="18"/>
                <w:szCs w:val="18"/>
                <w:lang w:eastAsia="hr-HR"/>
              </w:rPr>
              <w:t xml:space="preserve"> oblicima tjelesne aktivnosti. Pregled također ukazuje na velike razlike u pouzdanosti i točnosti pojedinih uređaja, pri čemu se akcelerometri (npr. ActiGraph) pokazuju preciznijima od pedometara, dok komercijalni uređaji poput Fitbita imaju potencijal, ali još uvijek ograničenu znanstvenu validaciju. Autori naglašavaju da većina postojećih studija ima deskriptivan karakter, dok je malo istraživanja koja ispituju dugoročne učinke ili utjecaj nosivih tehnologija na promjenu ponašanja.</w:t>
            </w:r>
          </w:p>
        </w:tc>
      </w:tr>
      <w:tr w:rsidR="0077472D" w:rsidRPr="005365AA" w14:paraId="53204D7E" w14:textId="77777777" w:rsidTr="4DCF16DC">
        <w:trPr>
          <w:trHeight w:val="300"/>
        </w:trPr>
        <w:tc>
          <w:tcPr>
            <w:tcW w:w="3315" w:type="dxa"/>
            <w:hideMark/>
          </w:tcPr>
          <w:p w14:paraId="35F663B9"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485C7FA1"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1F993203" w14:textId="05E100A1" w:rsidR="0077472D" w:rsidRPr="005365AA" w:rsidRDefault="72ABB219"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Ovaj rad je posebno koristan za Mentifit projekt jer pruža snažnu znanstvenu podlogu za korištenje nosivih tehnologija kao alata za objektivno praćenje dječje tjelesne aktivnosti u školskom i predškolskom okruženju. Nalazi naglašavaju važnost pažljivog odabira uređaja i mjernih protokola, ali i ukazuju na potencijal tehnologije kao podrške evaluaciji intervencija usmjerenih na tjelesnu pismenost i zdravlje djece. Za Mentifit projekt, studija je relevantna jer pokazuje da tehnologija može služiti kao sredstvo za praćenje i refleksiju, a ne nužno kao primarni motivacijski alat usmjeren na ciljeve i metrike. Također podupire ideju da digitalna rješenja trebaju biti integrirana u širi pedagoški i razvojni okvir koji potiče igru, kretanje i zdrave navike, uz izbjegavanje prevelikog naglaska na kvantifikaciju i uspoređivanje djece.</w:t>
            </w:r>
          </w:p>
        </w:tc>
      </w:tr>
      <w:tr w:rsidR="0077472D" w:rsidRPr="005365AA" w14:paraId="610A3E1E" w14:textId="77777777" w:rsidTr="4DCF16DC">
        <w:trPr>
          <w:trHeight w:val="300"/>
        </w:trPr>
        <w:tc>
          <w:tcPr>
            <w:tcW w:w="3315" w:type="dxa"/>
            <w:hideMark/>
          </w:tcPr>
          <w:p w14:paraId="1949C1A7"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3D96E634" w14:textId="488B5712" w:rsidR="0077472D" w:rsidRPr="005365AA" w:rsidRDefault="1CF63A85"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Fitbit se u istraživanjima djece najčešće koristi kao praktičan alat za praćenje tjelesne aktivnosti u prirodnim, školskim uvjetima, a ne kao precizan mjerni instrument. Njegova glavna prednost je mogućnost kontinuiranog praćenja obrazaca kretanja tijekom školskog dana, dok je točnost u procjeni intenziteta aktivnosti, osobito kod mlađe djece, ograničena u usporedbi s istraživačkim akcelerometrima. Fitbit se stoga preporučuje za praćenje trendova i podizanje svijesti o kretanju, a ne za individualnu evaluaciju ili uspoređivanje djece. Rad naglašava da najveću vrijednost ima kada je integriran u širi pedagoški i edukativni kontekst. Ovakav pristup u skladu je s projektom, gdje se Fitbit </w:t>
            </w:r>
            <w:r w:rsidRPr="4DCF16DC">
              <w:rPr>
                <w:rFonts w:eastAsiaTheme="minorEastAsia"/>
                <w:b/>
                <w:bCs/>
                <w:sz w:val="18"/>
                <w:szCs w:val="18"/>
                <w:lang w:eastAsia="hr-HR"/>
              </w:rPr>
              <w:t>koristi kao podrška razvoju tjelesne pismenosti i zdravih navika</w:t>
            </w:r>
            <w:r w:rsidRPr="4DCF16DC">
              <w:rPr>
                <w:rFonts w:eastAsiaTheme="minorEastAsia"/>
                <w:sz w:val="18"/>
                <w:szCs w:val="18"/>
                <w:lang w:eastAsia="hr-HR"/>
              </w:rPr>
              <w:t>, a ne kao alat kontrole.</w:t>
            </w:r>
          </w:p>
        </w:tc>
      </w:tr>
    </w:tbl>
    <w:p w14:paraId="527C51B7" w14:textId="60FDEDF2" w:rsidR="0077472D" w:rsidRDefault="0077472D" w:rsidP="005365AA"/>
    <w:p w14:paraId="089E5015" w14:textId="3C72F013"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3"/>
        <w:gridCol w:w="6579"/>
      </w:tblGrid>
      <w:tr w:rsidR="0077472D" w:rsidRPr="005365AA" w14:paraId="573CB80E" w14:textId="77777777" w:rsidTr="4DCF16DC">
        <w:trPr>
          <w:trHeight w:val="300"/>
        </w:trPr>
        <w:tc>
          <w:tcPr>
            <w:tcW w:w="3315" w:type="dxa"/>
            <w:shd w:val="clear" w:color="auto" w:fill="FFFFFF" w:themeFill="background1"/>
            <w:hideMark/>
          </w:tcPr>
          <w:p w14:paraId="23DFF9E8" w14:textId="0575F539"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shd w:val="clear" w:color="auto" w:fill="FFFFFF" w:themeFill="background1"/>
          </w:tcPr>
          <w:p w14:paraId="628303FC" w14:textId="4A112427" w:rsidR="0077472D" w:rsidRPr="005365AA" w:rsidRDefault="7C1DABFC" w:rsidP="4DCF16DC">
            <w:pPr>
              <w:spacing w:after="0" w:line="240" w:lineRule="auto"/>
              <w:textAlignment w:val="baseline"/>
              <w:rPr>
                <w:rFonts w:eastAsiaTheme="minorEastAsia"/>
                <w:sz w:val="18"/>
                <w:szCs w:val="18"/>
              </w:rPr>
            </w:pPr>
            <w:r w:rsidRPr="4DCF16DC">
              <w:rPr>
                <w:rFonts w:eastAsiaTheme="minorEastAsia"/>
                <w:sz w:val="18"/>
                <w:szCs w:val="18"/>
              </w:rPr>
              <w:t xml:space="preserve">Sun, G., Wang, C., &amp; Zhang, J. (2025). Effectiveness of mental health literacy interventions for adolescents: A systematic review and meta-analysis. </w:t>
            </w:r>
            <w:r w:rsidRPr="4DCF16DC">
              <w:rPr>
                <w:rFonts w:eastAsiaTheme="minorEastAsia"/>
                <w:i/>
                <w:iCs/>
                <w:sz w:val="18"/>
                <w:szCs w:val="18"/>
              </w:rPr>
              <w:t>SAGE Open, 15</w:t>
            </w:r>
            <w:r w:rsidRPr="4DCF16DC">
              <w:rPr>
                <w:rFonts w:eastAsiaTheme="minorEastAsia"/>
                <w:sz w:val="18"/>
                <w:szCs w:val="18"/>
              </w:rPr>
              <w:t xml:space="preserve">(1), 21582440251327445. </w:t>
            </w:r>
            <w:hyperlink r:id="rId19">
              <w:r w:rsidRPr="4DCF16DC">
                <w:rPr>
                  <w:rStyle w:val="Hiperveza"/>
                  <w:rFonts w:eastAsiaTheme="minorEastAsia"/>
                  <w:sz w:val="18"/>
                  <w:szCs w:val="18"/>
                </w:rPr>
                <w:t>https://doi.org/10.1177/21582440251327445</w:t>
              </w:r>
            </w:hyperlink>
          </w:p>
        </w:tc>
      </w:tr>
      <w:tr w:rsidR="0077472D" w:rsidRPr="005365AA" w14:paraId="6A7E7378" w14:textId="77777777" w:rsidTr="4DCF16DC">
        <w:trPr>
          <w:trHeight w:val="300"/>
        </w:trPr>
        <w:tc>
          <w:tcPr>
            <w:tcW w:w="3315" w:type="dxa"/>
            <w:hideMark/>
          </w:tcPr>
          <w:p w14:paraId="4F6DE54D"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46028A3F" w14:textId="335B10D2" w:rsidR="0077472D" w:rsidRPr="005365AA" w:rsidRDefault="40A9AAB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https://doi.org/10.1177/21582440251327445</w:t>
            </w:r>
          </w:p>
        </w:tc>
      </w:tr>
      <w:tr w:rsidR="0077472D" w:rsidRPr="005365AA" w14:paraId="2DB8DD7C" w14:textId="77777777" w:rsidTr="4DCF16DC">
        <w:trPr>
          <w:trHeight w:val="300"/>
        </w:trPr>
        <w:tc>
          <w:tcPr>
            <w:tcW w:w="3315" w:type="dxa"/>
            <w:hideMark/>
          </w:tcPr>
          <w:p w14:paraId="1020A19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4EE47712" w14:textId="1692D3F3" w:rsidR="0077472D" w:rsidRPr="005365AA" w:rsidRDefault="2C59BEC5"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Mentalno-zdravstvena pismenost</w:t>
            </w:r>
          </w:p>
        </w:tc>
      </w:tr>
      <w:tr w:rsidR="0077472D" w:rsidRPr="005365AA" w14:paraId="44705450" w14:textId="77777777" w:rsidTr="4DCF16DC">
        <w:trPr>
          <w:trHeight w:val="300"/>
        </w:trPr>
        <w:tc>
          <w:tcPr>
            <w:tcW w:w="3315" w:type="dxa"/>
          </w:tcPr>
          <w:p w14:paraId="28159FC3"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609EBAC7" w14:textId="552F2654" w:rsidR="0077472D" w:rsidRPr="005365AA" w:rsidRDefault="505523F5"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Vedran Jakobek</w:t>
            </w:r>
          </w:p>
        </w:tc>
      </w:tr>
      <w:tr w:rsidR="0077472D" w:rsidRPr="005365AA" w14:paraId="55B81F53" w14:textId="77777777" w:rsidTr="4DCF16DC">
        <w:trPr>
          <w:trHeight w:val="300"/>
        </w:trPr>
        <w:tc>
          <w:tcPr>
            <w:tcW w:w="3315" w:type="dxa"/>
            <w:hideMark/>
          </w:tcPr>
          <w:p w14:paraId="245F49BF"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769CDF34"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7B2BBE48"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582FBBAD"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3A3FCEDD"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3CEFC728" w14:textId="43573A8E" w:rsidR="0077472D" w:rsidRPr="005365AA" w:rsidRDefault="35B94B20"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0077472D" w:rsidRPr="005365AA" w14:paraId="4F56FA54" w14:textId="77777777" w:rsidTr="4DCF16DC">
        <w:trPr>
          <w:trHeight w:val="300"/>
        </w:trPr>
        <w:tc>
          <w:tcPr>
            <w:tcW w:w="3315" w:type="dxa"/>
            <w:hideMark/>
          </w:tcPr>
          <w:p w14:paraId="13968C2C"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118C1F5F"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479C3982" w14:textId="40467F2E" w:rsidR="0077472D" w:rsidRPr="005365AA" w:rsidRDefault="028151A4" w:rsidP="4DCF16DC">
            <w:pPr>
              <w:spacing w:after="0" w:line="240" w:lineRule="auto"/>
              <w:textAlignment w:val="baseline"/>
              <w:rPr>
                <w:rFonts w:eastAsiaTheme="minorEastAsia"/>
                <w:sz w:val="18"/>
                <w:szCs w:val="18"/>
                <w:lang w:val="en-US" w:eastAsia="hr-HR"/>
              </w:rPr>
            </w:pPr>
            <w:r w:rsidRPr="4DCF16DC">
              <w:rPr>
                <w:rFonts w:eastAsiaTheme="minorEastAsia"/>
                <w:sz w:val="18"/>
                <w:szCs w:val="18"/>
                <w:lang w:val="en-US" w:eastAsia="hr-HR"/>
              </w:rPr>
              <w:t>To address the urgent need for effective adolescent mental health support, this systematic review and meta-analysis evaluated the impact of mental health literacy interventions on adolescents, a group highly susceptible to mental health issues. In accordance with the Preferred Reporting Items for Systematic Reviews and Meta-Analyses (PRISMA) guidelines and registered under the International Platform of Registered Systematic Review and Meta-analysis Protocols (INPLASY202330098), our research thoroughly searched prominent databases, including PubMed, Web of Science, EBSCO, CNKI, Wanfang, and Chongqing VIP. We focused on studies employing a pre-test-post-test design to compare mental health literacy interventions against control groups. Our analysis included 18 studies revealing statistically significant improvements in adolescents’ mental health literacy, knowledge, and help-seeking and a reduction in stigma associated with mental health issues. The effectiveness of these interventions varied significantly across regions, with notable improvements in Asia, particularly in terms of helpseeking and stigma reduction. Interventions featuring frequent interactions proved particularly effective, showing significant increases in mental health knowledge and help-seeking. Multifaceted interventions that combined various methods were most beneficial for enhancing mental health knowledge. Importantly, although the positive effects on mental health literacy and stigma reduction were sustained at the 2-month follow-up, the improvements in help-seeking did not maintain significant levels post-intervention. These findings emphasize the critical need for tailored mental health literacy programs for adolescents and provide novel insights into the efficacy of interactive and diverse intervention strategies.</w:t>
            </w:r>
          </w:p>
        </w:tc>
      </w:tr>
      <w:tr w:rsidR="0077472D" w:rsidRPr="005365AA" w14:paraId="4626EB5A" w14:textId="77777777" w:rsidTr="4DCF16DC">
        <w:trPr>
          <w:trHeight w:val="300"/>
        </w:trPr>
        <w:tc>
          <w:tcPr>
            <w:tcW w:w="3315" w:type="dxa"/>
            <w:hideMark/>
          </w:tcPr>
          <w:p w14:paraId="56CE5B01"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4586242F" w14:textId="06998729" w:rsidR="0077472D" w:rsidRPr="005365AA" w:rsidRDefault="2B001099"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Mentalno-zdravstvena pismenost; adolescenti; sustavni pregled; meta-analiza; učinci interakcije</w:t>
            </w:r>
          </w:p>
        </w:tc>
      </w:tr>
      <w:tr w:rsidR="0077472D" w:rsidRPr="005365AA" w14:paraId="73503378" w14:textId="77777777" w:rsidTr="4DCF16DC">
        <w:trPr>
          <w:trHeight w:val="300"/>
        </w:trPr>
        <w:tc>
          <w:tcPr>
            <w:tcW w:w="3315" w:type="dxa"/>
            <w:hideMark/>
          </w:tcPr>
          <w:p w14:paraId="5E1FB216"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00FFE065" w14:textId="0F98E159" w:rsidR="0077472D" w:rsidRPr="005365AA" w:rsidRDefault="12D4F83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Adolescenti su posebno osjetljivi na probleme s mentalnim zdravljem, stoga postoje razni programi za poboljšanje njihove mentalno-zdravstvene pismenosti. Međutim, vode se rasprave o tome koliko su ti programi učinkoviti. Autori su ovoga rada pretražili nekoliko velikih baza podataka i uključili 18 istraživanja u kojima su testirani navedeni programi uspoređujući skupine adolescenata koji su bili podvrgnuti intervencijama s onima koji nisu bili. Nalazi ovoga istraživanja pokazuju da programi značajno poboljšavaju razumijevanje mentalnog zdravlja u adolescenata, povećavaju njihovu spremnost traženja pomoći i smanjuju stigmu oko problema s mentalnim zdravljem. Učinkovitost ovih programa varira ovisno o regiji, s posebno jakim efektima u Aziji i to u pogledu traženja pomoći i smanjenja stigme. Programi koji uključuju česte interakcije s adolescentima posebno su učinkoviti, uvelike poboljšavajući njihovo znanje o mentalnom zdravlju i ponašanje traženja pomoći. Programi koji koriste više metoda najbolji su za povećanje znanja o mentalnom zdravlju. Dok su pozitivni učinci na znanje o mentalnom zdravlju i smanjenje stigme trajali dva mjeseca nakon završetka programa, poboljšanja u ponašanju traženja pomoći nisu trajala tako dugo. Ovi rezultati ističu potrebu za prilagođenim programima edukacije o mentalnom zdravlju za adolescenta i pružaju nove uvide u najučinkovitije strategije u sklopu tih programa.</w:t>
            </w:r>
          </w:p>
        </w:tc>
      </w:tr>
      <w:tr w:rsidR="0077472D" w:rsidRPr="005365AA" w14:paraId="55393EAE" w14:textId="77777777" w:rsidTr="4DCF16DC">
        <w:trPr>
          <w:trHeight w:val="300"/>
        </w:trPr>
        <w:tc>
          <w:tcPr>
            <w:tcW w:w="3315" w:type="dxa"/>
            <w:hideMark/>
          </w:tcPr>
          <w:p w14:paraId="66D365F3"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56FAFB1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57150C1A" w14:textId="0609780E" w:rsidR="0077472D" w:rsidRPr="005365AA" w:rsidRDefault="537E648B" w:rsidP="4DCF16DC">
            <w:pPr>
              <w:pStyle w:val="Odlomakpopisa"/>
              <w:numPr>
                <w:ilvl w:val="0"/>
                <w:numId w:val="5"/>
              </w:num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Utjecaj intervencija na znanje o mentalnom zdravlju:</w:t>
            </w:r>
          </w:p>
          <w:p w14:paraId="715DE35D" w14:textId="1947D992" w:rsidR="0077472D" w:rsidRPr="005365AA" w:rsidRDefault="537E648B" w:rsidP="4DCF16DC">
            <w:pPr>
              <w:pStyle w:val="Odlomakpopisa"/>
              <w:spacing w:before="240" w:after="240" w:line="240" w:lineRule="auto"/>
              <w:textAlignment w:val="baseline"/>
              <w:rPr>
                <w:rFonts w:eastAsiaTheme="minorEastAsia"/>
                <w:sz w:val="18"/>
                <w:szCs w:val="18"/>
              </w:rPr>
            </w:pPr>
            <w:r w:rsidRPr="4DCF16DC">
              <w:rPr>
                <w:rFonts w:eastAsiaTheme="minorEastAsia"/>
                <w:sz w:val="18"/>
                <w:szCs w:val="18"/>
              </w:rPr>
              <w:t>Rezultati pokazuju da su intervencije s višom razinom interakcije sudionika bile značajno učinkovitije od onih s nižom razinom interakcije.</w:t>
            </w:r>
          </w:p>
          <w:p w14:paraId="5BEBF5ED" w14:textId="450CD586" w:rsidR="0077472D" w:rsidRPr="005365AA" w:rsidRDefault="537E648B" w:rsidP="4DCF16DC">
            <w:pPr>
              <w:pStyle w:val="Odlomakpopisa"/>
              <w:spacing w:after="0" w:line="240" w:lineRule="auto"/>
              <w:textAlignment w:val="baseline"/>
              <w:rPr>
                <w:rFonts w:eastAsiaTheme="minorEastAsia"/>
                <w:sz w:val="18"/>
                <w:szCs w:val="18"/>
              </w:rPr>
            </w:pPr>
            <w:r w:rsidRPr="4DCF16DC">
              <w:rPr>
                <w:rFonts w:eastAsiaTheme="minorEastAsia"/>
                <w:sz w:val="18"/>
                <w:szCs w:val="18"/>
              </w:rPr>
              <w:t>Pokazalo se da je kombinirano korištenje videa i izravnog kontakta u poučavanju bilo značajno učinkovitije od poučavanja samo putem izravnog kontakta. Ovi rezultati ističu dodanu vrijednost integriranja različitih modaliteta (poput videa i izravnog kontakta) u intervencijske postupke.</w:t>
            </w:r>
          </w:p>
          <w:p w14:paraId="446A8959" w14:textId="6C05EA72" w:rsidR="0077472D" w:rsidRPr="005365AA" w:rsidRDefault="537E648B" w:rsidP="4DCF16DC">
            <w:pPr>
              <w:pStyle w:val="Odlomakpopisa"/>
              <w:numPr>
                <w:ilvl w:val="0"/>
                <w:numId w:val="5"/>
              </w:numPr>
              <w:spacing w:after="0" w:line="240" w:lineRule="auto"/>
              <w:textAlignment w:val="baseline"/>
              <w:rPr>
                <w:rFonts w:eastAsiaTheme="minorEastAsia"/>
                <w:b/>
                <w:bCs/>
                <w:sz w:val="18"/>
                <w:szCs w:val="18"/>
              </w:rPr>
            </w:pPr>
            <w:r w:rsidRPr="4DCF16DC">
              <w:rPr>
                <w:rFonts w:eastAsiaTheme="minorEastAsia"/>
                <w:b/>
                <w:bCs/>
                <w:sz w:val="18"/>
                <w:szCs w:val="18"/>
              </w:rPr>
              <w:t xml:space="preserve">Utjecaj intervencija na traženje pomoći: </w:t>
            </w:r>
          </w:p>
          <w:p w14:paraId="1644CDE5" w14:textId="4FC36478" w:rsidR="0077472D" w:rsidRPr="005365AA" w:rsidRDefault="537E648B" w:rsidP="4DCF16DC">
            <w:pPr>
              <w:pStyle w:val="Odlomakpopisa"/>
              <w:spacing w:after="0" w:line="240" w:lineRule="auto"/>
              <w:textAlignment w:val="baseline"/>
              <w:rPr>
                <w:rFonts w:eastAsiaTheme="minorEastAsia"/>
                <w:sz w:val="18"/>
                <w:szCs w:val="18"/>
              </w:rPr>
            </w:pPr>
            <w:r w:rsidRPr="4DCF16DC">
              <w:rPr>
                <w:rFonts w:eastAsiaTheme="minorEastAsia"/>
                <w:sz w:val="18"/>
                <w:szCs w:val="18"/>
              </w:rPr>
              <w:t>Intervencije u Aziji pokazale su značajno jači učinak na traženje pomoći nego one u Oceaniji. Intervencije s visokom razinom interakcije sudionika bile su značajno učinkovitije od onih s niskom razinom interakcije. Ovi nalazi naglašavaju važnost elementa interaktivnosti u intervencijama, odnosno sugeriraju da veća uključenost sudionika može dovesti do boljih ishoda u kontekstu traženja pomoći traženja pomoći.</w:t>
            </w:r>
          </w:p>
          <w:p w14:paraId="7514F59A" w14:textId="071E5381" w:rsidR="0077472D" w:rsidRPr="005365AA" w:rsidRDefault="537E648B" w:rsidP="4DCF16DC">
            <w:pPr>
              <w:pStyle w:val="Odlomakpopisa"/>
              <w:numPr>
                <w:ilvl w:val="0"/>
                <w:numId w:val="3"/>
              </w:num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Utjecaj intervencija na smanjenje stigme:</w:t>
            </w:r>
          </w:p>
          <w:p w14:paraId="75804739" w14:textId="788FA698" w:rsidR="0077472D" w:rsidRPr="005365AA" w:rsidRDefault="537E648B" w:rsidP="4DCF16DC">
            <w:pPr>
              <w:pStyle w:val="Odlomakpopisa"/>
              <w:spacing w:after="0" w:line="240" w:lineRule="auto"/>
              <w:textAlignment w:val="baseline"/>
              <w:rPr>
                <w:rFonts w:eastAsiaTheme="minorEastAsia"/>
                <w:sz w:val="18"/>
                <w:szCs w:val="18"/>
                <w:lang w:eastAsia="hr-HR"/>
              </w:rPr>
            </w:pPr>
            <w:r w:rsidRPr="4DCF16DC">
              <w:rPr>
                <w:rFonts w:eastAsiaTheme="minorEastAsia"/>
                <w:sz w:val="18"/>
                <w:szCs w:val="18"/>
                <w:lang w:eastAsia="hr-HR"/>
              </w:rPr>
              <w:t>Intervencije provedene u Aziji bile su znatno učinkovitije u smanjenju stigme od onih provedenih u Oceaniji i Europi.</w:t>
            </w:r>
          </w:p>
        </w:tc>
      </w:tr>
      <w:tr w:rsidR="0077472D" w:rsidRPr="005365AA" w14:paraId="4BDBB4BC" w14:textId="77777777" w:rsidTr="4DCF16DC">
        <w:trPr>
          <w:trHeight w:val="300"/>
        </w:trPr>
        <w:tc>
          <w:tcPr>
            <w:tcW w:w="3315" w:type="dxa"/>
            <w:hideMark/>
          </w:tcPr>
          <w:p w14:paraId="1026857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30DBAB95"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76523C2E" w14:textId="17782AFD" w:rsidR="0077472D" w:rsidRPr="005365AA" w:rsidRDefault="5428EB90"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Nalazi istraživanja naglašavaju učinkovitost obrazovnih i intervencija koje uključuju kontakt. Obrazovanje i kontakt su dominantne metode koje se koriste za poboljšanje mentalno-zdravstvene pismenosti. Obrazovne intervencije imaju za cilj razbiti mitove povezane s mentalnim bolestima širenjem informacija o psihološkim problemima. To se obično provodi putem predavanja, tečajeva, distribucije materijala za čitanje, grupnog savjetovanja i rasprava. S druge strane, intervencije uz kontakt uključuju izlaganje pojedinaca osobama s mentalnim poremećajima, koje dijele svoje osobne priče. Ovo izravno izlaganje osmišljeno je kako bi se smanjila anksioznost i povećala empatija, čime se smanjuju stigmatizirajući stavovi prema onima koji pate od mentalnih poremećaja.</w:t>
            </w:r>
            <w:r w:rsidR="25E2993C" w:rsidRPr="4DCF16DC">
              <w:rPr>
                <w:rFonts w:eastAsiaTheme="minorEastAsia"/>
                <w:sz w:val="18"/>
                <w:szCs w:val="18"/>
                <w:lang w:eastAsia="hr-HR"/>
              </w:rPr>
              <w:t xml:space="preserve"> Za dizajn Mentifit projekta treba uzeti u obzir da se kombinacija obrazovnih i pristupa uz kontakt čini posebno snažnom, moguće zbog dvosmjernog fokusa na kognitivno razumijevanje i emocionalnu empatiju. Rješavanjem informacijskih potreba i emocionalnih predrasuda pojedinaca, ove intervencije stvaraju sveobuhvatniju strategiju.</w:t>
            </w:r>
            <w:r w:rsidR="01A93570" w:rsidRPr="4DCF16DC">
              <w:rPr>
                <w:rFonts w:eastAsiaTheme="minorEastAsia"/>
                <w:sz w:val="18"/>
                <w:szCs w:val="18"/>
                <w:lang w:eastAsia="hr-HR"/>
              </w:rPr>
              <w:t xml:space="preserve"> Intervencije usmjerene na MZP, znanje i stigmu u području mentalnog zdravlja pokazale su učinak do 2 mjeseca, a neke i dulje, iako je tijekom vremena došlo do značajnog smanjenja veličine tih učinaka. Ovaj trend sugerira postupno smanjenje postignutih rezultata intervencije, što ukazuje na potrebu za kontinuiranim naporima za održavanje početnih poboljšanja.</w:t>
            </w:r>
            <w:r w:rsidR="173144AD" w:rsidRPr="4DCF16DC">
              <w:rPr>
                <w:rFonts w:eastAsiaTheme="minorEastAsia"/>
                <w:sz w:val="18"/>
                <w:szCs w:val="18"/>
                <w:lang w:eastAsia="hr-HR"/>
              </w:rPr>
              <w:t xml:space="preserve"> Međutim, suprotno ovim nalazima, učinkovitost intervencija za traženje pomoći nije bila značajna u kasnijim razdobljima praćenja. Ovi nalazi naglašavaju potrebu za kontinuiranom intervencijskom strategijom kako bi se povećala dugotrajnost učinaka, posebno u obrazovnim okruženjima gdje kontinuirano uključivanje učenika i potkrepljivanje potencijalno mogu suzbiti prirodni pad učinka intervencije. Razvoj okvira za redovita </w:t>
            </w:r>
            <w:r w:rsidR="3754CA0E" w:rsidRPr="4DCF16DC">
              <w:rPr>
                <w:rFonts w:eastAsiaTheme="minorEastAsia"/>
                <w:sz w:val="18"/>
                <w:szCs w:val="18"/>
                <w:lang w:eastAsia="hr-HR"/>
              </w:rPr>
              <w:t>“</w:t>
            </w:r>
            <w:r w:rsidR="173144AD" w:rsidRPr="4DCF16DC">
              <w:rPr>
                <w:rFonts w:eastAsiaTheme="minorEastAsia"/>
                <w:sz w:val="18"/>
                <w:szCs w:val="18"/>
                <w:lang w:eastAsia="hr-HR"/>
              </w:rPr>
              <w:t>osvježavanja</w:t>
            </w:r>
            <w:r w:rsidR="3D46F26B" w:rsidRPr="4DCF16DC">
              <w:rPr>
                <w:rFonts w:eastAsiaTheme="minorEastAsia"/>
                <w:sz w:val="18"/>
                <w:szCs w:val="18"/>
                <w:lang w:eastAsia="hr-HR"/>
              </w:rPr>
              <w:t>”</w:t>
            </w:r>
            <w:r w:rsidR="173144AD" w:rsidRPr="4DCF16DC">
              <w:rPr>
                <w:rFonts w:eastAsiaTheme="minorEastAsia"/>
                <w:sz w:val="18"/>
                <w:szCs w:val="18"/>
                <w:lang w:eastAsia="hr-HR"/>
              </w:rPr>
              <w:t xml:space="preserve"> znanja unutar obrazovnog kurikuluma može se pokazati ključnim za održavanje učinkovitosti intervencija u području mentalnog zdravlja tijekom duljih vremenskih razdoblja.</w:t>
            </w:r>
            <w:r w:rsidR="48E2A01B" w:rsidRPr="4DCF16DC">
              <w:rPr>
                <w:rFonts w:eastAsiaTheme="minorEastAsia"/>
                <w:sz w:val="18"/>
                <w:szCs w:val="18"/>
                <w:lang w:eastAsia="hr-HR"/>
              </w:rPr>
              <w:t xml:space="preserve"> Razina interakcije među sudionicima značajno je utjecala na ishode stjecanja znanja i traženja pomoći. Interaktivni angažman potiče dublje učenje i razumijevanje, čime se olakšava internalizacija stečenog znanja. Povećani međuljudski kontakt može smanjiti predrasude, stvarajući podržavajuće okruženje intervencijsko okruženje.</w:t>
            </w:r>
            <w:r w:rsidR="353D2B8C" w:rsidRPr="4DCF16DC">
              <w:rPr>
                <w:rFonts w:eastAsiaTheme="minorEastAsia"/>
                <w:sz w:val="18"/>
                <w:szCs w:val="18"/>
                <w:lang w:eastAsia="hr-HR"/>
              </w:rPr>
              <w:t xml:space="preserve"> Kombinacija videa i komunikacije licem u lice pokazala se znatno učinkovitijom od korištenja samo pristupa licem u lice. Ovaj nalaz može se pripisati ograničenom rasponu pažnje adolescenata i njihovoj sklonosti dinamičnom sadržaju poput videa.</w:t>
            </w:r>
          </w:p>
        </w:tc>
      </w:tr>
      <w:tr w:rsidR="0077472D" w:rsidRPr="005365AA" w14:paraId="414D4E4B" w14:textId="77777777" w:rsidTr="4DCF16DC">
        <w:trPr>
          <w:trHeight w:val="300"/>
        </w:trPr>
        <w:tc>
          <w:tcPr>
            <w:tcW w:w="3315" w:type="dxa"/>
            <w:hideMark/>
          </w:tcPr>
          <w:p w14:paraId="46B16C3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1F920EC5" w14:textId="77777777" w:rsidR="0077472D" w:rsidRPr="005365AA" w:rsidRDefault="0077472D" w:rsidP="4DCF16DC">
            <w:pPr>
              <w:spacing w:after="0" w:line="240" w:lineRule="auto"/>
              <w:textAlignment w:val="baseline"/>
              <w:rPr>
                <w:rFonts w:eastAsiaTheme="minorEastAsia"/>
                <w:sz w:val="18"/>
                <w:szCs w:val="18"/>
                <w:lang w:eastAsia="hr-HR"/>
              </w:rPr>
            </w:pPr>
          </w:p>
        </w:tc>
      </w:tr>
    </w:tbl>
    <w:p w14:paraId="2070D675" w14:textId="4DC16BF6" w:rsidR="0077472D" w:rsidRDefault="0077472D" w:rsidP="005365AA"/>
    <w:p w14:paraId="1057989B" w14:textId="0B863CCA"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9"/>
        <w:gridCol w:w="6523"/>
      </w:tblGrid>
      <w:tr w:rsidR="0077472D" w:rsidRPr="005365AA" w14:paraId="6A8F4D13" w14:textId="77777777" w:rsidTr="4DCF16DC">
        <w:trPr>
          <w:trHeight w:val="300"/>
        </w:trPr>
        <w:tc>
          <w:tcPr>
            <w:tcW w:w="3315" w:type="dxa"/>
            <w:hideMark/>
          </w:tcPr>
          <w:p w14:paraId="48759920" w14:textId="1D8830DA"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62802EC6" w14:textId="0743E470" w:rsidR="0077472D" w:rsidRPr="005365AA" w:rsidRDefault="04D09CA4" w:rsidP="4DCF16DC">
            <w:pPr>
              <w:spacing w:after="0" w:line="240" w:lineRule="auto"/>
              <w:textAlignment w:val="baseline"/>
              <w:rPr>
                <w:rFonts w:eastAsiaTheme="minorEastAsia"/>
                <w:sz w:val="18"/>
                <w:szCs w:val="18"/>
              </w:rPr>
            </w:pPr>
            <w:r w:rsidRPr="4DCF16DC">
              <w:rPr>
                <w:rFonts w:eastAsiaTheme="minorEastAsia"/>
                <w:sz w:val="18"/>
                <w:szCs w:val="18"/>
              </w:rPr>
              <w:t xml:space="preserve">Thompson, L., Charitos, S., Bird, J., Marshall, P., &amp; Brigden, A. (2025). Exploring the use of smartwatches and activity trackers for health-related purposes for children aged 5 to 11 years: Systematic review. </w:t>
            </w:r>
            <w:r w:rsidRPr="4DCF16DC">
              <w:rPr>
                <w:rFonts w:eastAsiaTheme="minorEastAsia"/>
                <w:i/>
                <w:iCs/>
                <w:sz w:val="18"/>
                <w:szCs w:val="18"/>
              </w:rPr>
              <w:t>Journal of Medical Internet Research, 27</w:t>
            </w:r>
            <w:r w:rsidRPr="4DCF16DC">
              <w:rPr>
                <w:rFonts w:eastAsiaTheme="minorEastAsia"/>
                <w:sz w:val="18"/>
                <w:szCs w:val="18"/>
              </w:rPr>
              <w:t>, e62944. https://doi.org/10.2196/62944</w:t>
            </w:r>
          </w:p>
        </w:tc>
      </w:tr>
      <w:tr w:rsidR="0077472D" w:rsidRPr="005365AA" w14:paraId="4AE6AD49" w14:textId="77777777" w:rsidTr="4DCF16DC">
        <w:trPr>
          <w:trHeight w:val="300"/>
        </w:trPr>
        <w:tc>
          <w:tcPr>
            <w:tcW w:w="3315" w:type="dxa"/>
            <w:hideMark/>
          </w:tcPr>
          <w:p w14:paraId="168CC85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31EF784B" w14:textId="63EBAE0C" w:rsidR="0077472D" w:rsidRPr="005365AA" w:rsidRDefault="3D4D6FCF"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https://www.jmir.org/2025/1/e62944</w:t>
            </w:r>
          </w:p>
        </w:tc>
      </w:tr>
      <w:tr w:rsidR="0077472D" w:rsidRPr="005365AA" w14:paraId="0D72522B" w14:textId="77777777" w:rsidTr="4DCF16DC">
        <w:trPr>
          <w:trHeight w:val="300"/>
        </w:trPr>
        <w:tc>
          <w:tcPr>
            <w:tcW w:w="3315" w:type="dxa"/>
            <w:hideMark/>
          </w:tcPr>
          <w:p w14:paraId="0E92B3C5"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2D0755C6" w14:textId="003D41DF" w:rsidR="0077472D" w:rsidRPr="005365AA" w:rsidRDefault="3D4D6FCF"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Mjerenje tjelesne aktivnosti</w:t>
            </w:r>
          </w:p>
        </w:tc>
      </w:tr>
      <w:tr w:rsidR="0077472D" w:rsidRPr="005365AA" w14:paraId="5F17FDD6" w14:textId="77777777" w:rsidTr="4DCF16DC">
        <w:trPr>
          <w:trHeight w:val="300"/>
        </w:trPr>
        <w:tc>
          <w:tcPr>
            <w:tcW w:w="3315" w:type="dxa"/>
          </w:tcPr>
          <w:p w14:paraId="75C6E8CD"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6ADDEE9D" w14:textId="63334A00" w:rsidR="0077472D" w:rsidRPr="005365AA" w:rsidRDefault="3D4D6FCF"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Jelena Gerjević</w:t>
            </w:r>
          </w:p>
        </w:tc>
      </w:tr>
      <w:tr w:rsidR="0077472D" w:rsidRPr="005365AA" w14:paraId="451FEE19" w14:textId="77777777" w:rsidTr="4DCF16DC">
        <w:trPr>
          <w:trHeight w:val="300"/>
        </w:trPr>
        <w:tc>
          <w:tcPr>
            <w:tcW w:w="3315" w:type="dxa"/>
            <w:hideMark/>
          </w:tcPr>
          <w:p w14:paraId="3671DDE0"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495999C4"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0D6CC14F"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040A3A8"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AD32118"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40A99758" w14:textId="41AABBD7" w:rsidR="0077472D" w:rsidRPr="005365AA" w:rsidRDefault="3D4D6FCF" w:rsidP="4DCF16DC">
            <w:pPr>
              <w:spacing w:after="0" w:line="240" w:lineRule="exact"/>
              <w:textAlignment w:val="baseline"/>
              <w:rPr>
                <w:rFonts w:eastAsiaTheme="minorEastAsia"/>
                <w:b/>
                <w:bCs/>
                <w:color w:val="4472C4"/>
                <w:sz w:val="18"/>
                <w:szCs w:val="18"/>
                <w:lang w:eastAsia="hr-HR"/>
              </w:rPr>
            </w:pPr>
            <w:r w:rsidRPr="4DCF16DC">
              <w:rPr>
                <w:rFonts w:eastAsiaTheme="minorEastAsia"/>
                <w:b/>
                <w:bCs/>
                <w:color w:val="4472C4" w:themeColor="accent1"/>
                <w:sz w:val="18"/>
                <w:szCs w:val="18"/>
                <w:lang w:eastAsia="hr-HR"/>
              </w:rPr>
              <w:t>4</w:t>
            </w:r>
          </w:p>
        </w:tc>
      </w:tr>
      <w:tr w:rsidR="0077472D" w:rsidRPr="005365AA" w14:paraId="03B89653" w14:textId="77777777" w:rsidTr="4DCF16DC">
        <w:trPr>
          <w:trHeight w:val="300"/>
        </w:trPr>
        <w:tc>
          <w:tcPr>
            <w:tcW w:w="3315" w:type="dxa"/>
            <w:hideMark/>
          </w:tcPr>
          <w:p w14:paraId="74FE1AD5"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535850D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7E2244DC" w14:textId="4976CB5A" w:rsidR="0077472D" w:rsidRPr="005365AA" w:rsidRDefault="02D4D354" w:rsidP="4DCF16DC">
            <w:pPr>
              <w:spacing w:after="0" w:line="240" w:lineRule="auto"/>
              <w:textAlignment w:val="baseline"/>
              <w:rPr>
                <w:rFonts w:eastAsiaTheme="minorEastAsia"/>
                <w:sz w:val="18"/>
                <w:szCs w:val="18"/>
                <w:lang w:eastAsia="hr-HR"/>
              </w:rPr>
            </w:pPr>
            <w:r w:rsidRPr="4DCF16DC">
              <w:rPr>
                <w:rFonts w:eastAsiaTheme="minorEastAsia"/>
                <w:b/>
                <w:bCs/>
                <w:sz w:val="18"/>
                <w:szCs w:val="18"/>
                <w:lang w:eastAsia="hr-HR"/>
              </w:rPr>
              <w:t>Background</w:t>
            </w:r>
            <w:r w:rsidRPr="4DCF16DC">
              <w:rPr>
                <w:rFonts w:eastAsiaTheme="minorEastAsia"/>
                <w:sz w:val="18"/>
                <w:szCs w:val="18"/>
                <w:lang w:eastAsia="hr-HR"/>
              </w:rPr>
              <w:t xml:space="preserve">: Digital health interventions targeting behavior change are promising in adults and adolescents; however, less attention has been given to younger children. The proliferation of wearables, such as smartwatches and activity trackers, that support the collection of and reflection on personal health data highlights an opportunity to consider novel approaches to supporting health in young children (aged 5-11 y). Objective: This review aims to investigate how smartwatches and activity trackers have been used across child health interventions (for children aged 5-11 y) for different health areas, specifically to identify the population characteristics of those being targeted, describe the characteristics of the devices being used, and report the feasibility and acceptability of these devices for health-related applications with children. </w:t>
            </w:r>
            <w:r w:rsidRPr="4DCF16DC">
              <w:rPr>
                <w:rFonts w:eastAsiaTheme="minorEastAsia"/>
                <w:b/>
                <w:bCs/>
                <w:sz w:val="18"/>
                <w:szCs w:val="18"/>
                <w:lang w:eastAsia="hr-HR"/>
              </w:rPr>
              <w:t>Methods</w:t>
            </w:r>
            <w:r w:rsidRPr="4DCF16DC">
              <w:rPr>
                <w:rFonts w:eastAsiaTheme="minorEastAsia"/>
                <w:sz w:val="18"/>
                <w:szCs w:val="18"/>
                <w:lang w:eastAsia="hr-HR"/>
              </w:rPr>
              <w:t xml:space="preserve">: We searched 10 databases (CINAHL, Embase, ACM Digital Library, IEEE Xplore, Cochrane Library, PsycINFO, Web of Science, PubMed, Scopus, and MEDLINE) to identify relevant literature in March 2023. The inclusion criteria for studies were as follows: (1) peer-reviewed, empirical studies; (2) published in English; (3) involved a child aged 5 to 11 years using a smartwatch for health-related purposes. Two researchers independently screened articles to assess eligibility. One researcher extracted data relating to the 3 aims and synthesized the results using narrative and thematic synthesis. </w:t>
            </w:r>
            <w:r w:rsidRPr="4DCF16DC">
              <w:rPr>
                <w:rFonts w:eastAsiaTheme="minorEastAsia"/>
                <w:b/>
                <w:bCs/>
                <w:sz w:val="18"/>
                <w:szCs w:val="18"/>
                <w:lang w:eastAsia="hr-HR"/>
              </w:rPr>
              <w:t>Results</w:t>
            </w:r>
            <w:r w:rsidRPr="4DCF16DC">
              <w:rPr>
                <w:rFonts w:eastAsiaTheme="minorEastAsia"/>
                <w:sz w:val="18"/>
                <w:szCs w:val="18"/>
                <w:lang w:eastAsia="hr-HR"/>
              </w:rPr>
              <w:t xml:space="preserve">: The database searches identified 3312 articles, of which 15 (0.45%) were included in this review. Three (20%) articles referred to the same intervention. In 77% (10/13) of the studies, the devices were used to target improvements in physical activity. Other applications included using smartwatches to deliver interventions for emotional regulation and asthma management. In total, 9 commercial devices were identified, many of which delivered minimal data feedback on the smartwatch or activity tracker, instead relying on a partner app running on a linked parental smartphone with greater functionality. Of the 13 studies, 8 (62%) used devices designed for adults rather than children. User feedback was positive overall, demonstrating the acceptability and feasibility of using these devices with children. However, the studies often lacked a child-focused approach, with 3 (23%) studies gathering user feedback only from parents. </w:t>
            </w:r>
            <w:r w:rsidRPr="4DCF16DC">
              <w:rPr>
                <w:rFonts w:eastAsiaTheme="minorEastAsia"/>
                <w:b/>
                <w:bCs/>
                <w:sz w:val="18"/>
                <w:szCs w:val="18"/>
                <w:lang w:eastAsia="hr-HR"/>
              </w:rPr>
              <w:t>Conclusions</w:t>
            </w:r>
            <w:r w:rsidRPr="4DCF16DC">
              <w:rPr>
                <w:rFonts w:eastAsiaTheme="minorEastAsia"/>
                <w:sz w:val="18"/>
                <w:szCs w:val="18"/>
                <w:lang w:eastAsia="hr-HR"/>
              </w:rPr>
              <w:t>: Interventions involving smartwatches and activity trackers for children aged 5 to 11 years remain limited, primarily focusing on enhancing physical activity, with few studies investigating other health applications. These devices often provide limited data feedback and functionality to support children’s independent engagement with the data, relying on paired smartphone apps managed by caregivers, who control access and facilitate children’s interaction with the data. Future research should adopt child-centered methods in the design and evaluation of these technologies, integrating children’s perspectives alongside their caregivers, to ensure that they are not only feasible and acceptable but also meaningful and effective for young children.</w:t>
            </w:r>
          </w:p>
        </w:tc>
      </w:tr>
      <w:tr w:rsidR="0077472D" w:rsidRPr="005365AA" w14:paraId="4DE26D38" w14:textId="77777777" w:rsidTr="4DCF16DC">
        <w:trPr>
          <w:trHeight w:val="300"/>
        </w:trPr>
        <w:tc>
          <w:tcPr>
            <w:tcW w:w="3315" w:type="dxa"/>
            <w:hideMark/>
          </w:tcPr>
          <w:p w14:paraId="5B6B9EE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4ABCF3D1" w14:textId="15A7F2B7" w:rsidR="0077472D" w:rsidRPr="005365AA" w:rsidRDefault="5CFA0115"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children; systematic review; wearable activity trackers; smartwatches; feasibility; mobile phone</w:t>
            </w:r>
          </w:p>
        </w:tc>
      </w:tr>
      <w:tr w:rsidR="0077472D" w:rsidRPr="005365AA" w14:paraId="18BF6A6E" w14:textId="77777777" w:rsidTr="4DCF16DC">
        <w:trPr>
          <w:trHeight w:val="300"/>
        </w:trPr>
        <w:tc>
          <w:tcPr>
            <w:tcW w:w="3315" w:type="dxa"/>
            <w:hideMark/>
          </w:tcPr>
          <w:p w14:paraId="0284E473"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3F3CC0DB" w14:textId="5DF72BF5" w:rsidR="0077472D" w:rsidRPr="005365AA" w:rsidRDefault="71AEF89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Rad istražuje kako se pametni satovi i uređaji za praćenje aktivnosti koriste kod djece u dobi od 5 do 11 godina te koje zdravstvene, obrazovne i svakodnevne funkcije imaju iz perspektive djece i roditelja. Kroz eksplorativni pristup, rad analizira potencijal ovih uređaja za poticanje tjelesne aktivnosti, praćenje zdravlja i podršku zdravim rutinama, ali i identificira zabrinutosti vezane uz nadzor, privatnost i pritisak na djecu.</w:t>
            </w:r>
          </w:p>
        </w:tc>
      </w:tr>
      <w:tr w:rsidR="0077472D" w:rsidRPr="005365AA" w14:paraId="26EA5C6E" w14:textId="77777777" w:rsidTr="4DCF16DC">
        <w:trPr>
          <w:trHeight w:val="300"/>
        </w:trPr>
        <w:tc>
          <w:tcPr>
            <w:tcW w:w="3315" w:type="dxa"/>
            <w:hideMark/>
          </w:tcPr>
          <w:p w14:paraId="0262B26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1F6345A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3E74EE65" w14:textId="3F105168" w:rsidR="0077472D" w:rsidRPr="005365AA" w:rsidRDefault="12DC895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Nalazi rada upućuju na to da se pametni satovi i activity trackeri kod djece najčešće koriste za praćenje tjelesne aktivnosti, sna i dnevnih rutina, dok zdravstvene funkcije imaju sekundarnu ulogu. Djeca uređaje uglavnom doživljavaju kao zabavne i motivirajuće, osobito kada uključuju vizualne povratne informacije ili elemente igre, dok roditelji naglašavaju njihovu korisnost za praćenje aktivnosti i uspostavljanje zdravih navika. Istovremeno, identificirane su zabrinutosti vezane uz pretjerani nadzor, potencijalni pritisak na dijete i rizik da se kretanje doživi kao obveza umjesto igre. Rad također ističe da učinkovitost i prihvaćenost uređaja uvelike ovise o dobi djeteta, načinu korištenja i uključenosti roditelja, a ne o samoj tehnologiji.</w:t>
            </w:r>
          </w:p>
        </w:tc>
      </w:tr>
      <w:tr w:rsidR="0077472D" w:rsidRPr="005365AA" w14:paraId="6B7859E0" w14:textId="77777777" w:rsidTr="4DCF16DC">
        <w:trPr>
          <w:trHeight w:val="300"/>
        </w:trPr>
        <w:tc>
          <w:tcPr>
            <w:tcW w:w="3315" w:type="dxa"/>
            <w:hideMark/>
          </w:tcPr>
          <w:p w14:paraId="07E8A33C"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02CADBE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3B634C71" w14:textId="52360574" w:rsidR="0077472D" w:rsidRPr="005365AA" w:rsidRDefault="74F4AA74"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Za Mentifit projekt ovaj rad je koristan jer naglašava da nosivi uređaji imaju najveći potencijal kada se koriste </w:t>
            </w:r>
            <w:r w:rsidRPr="4DCF16DC">
              <w:rPr>
                <w:rFonts w:eastAsiaTheme="minorEastAsia"/>
                <w:b/>
                <w:bCs/>
                <w:sz w:val="18"/>
                <w:szCs w:val="18"/>
                <w:lang w:eastAsia="hr-HR"/>
              </w:rPr>
              <w:t>razvojno primjereno, nenametljivo i u službi igre i rutine</w:t>
            </w:r>
            <w:r w:rsidRPr="4DCF16DC">
              <w:rPr>
                <w:rFonts w:eastAsiaTheme="minorEastAsia"/>
                <w:sz w:val="18"/>
                <w:szCs w:val="18"/>
                <w:lang w:eastAsia="hr-HR"/>
              </w:rPr>
              <w:t xml:space="preserve">, a ne kontrole ili performansi. Nalazi podržavaju Mentifitov pristup u kojem tehnologija služi kao </w:t>
            </w:r>
            <w:r w:rsidRPr="4DCF16DC">
              <w:rPr>
                <w:rFonts w:eastAsiaTheme="minorEastAsia"/>
                <w:b/>
                <w:bCs/>
                <w:sz w:val="18"/>
                <w:szCs w:val="18"/>
                <w:lang w:eastAsia="hr-HR"/>
              </w:rPr>
              <w:t>podrška zdravim navikama i tjelesnoj pismenosti</w:t>
            </w:r>
            <w:r w:rsidRPr="4DCF16DC">
              <w:rPr>
                <w:rFonts w:eastAsiaTheme="minorEastAsia"/>
                <w:sz w:val="18"/>
                <w:szCs w:val="18"/>
                <w:lang w:eastAsia="hr-HR"/>
              </w:rPr>
              <w:t>, a ne kao alat za mjerenje uspjeha ili uspoređivanje djece. Rad također pomaže opravdati potrebu za jasnim granicama korištenja tehnologije, posebice u pogledu pritiska, motivacije i privatnosti, što je važno za etički okvir Mentifita.</w:t>
            </w:r>
          </w:p>
        </w:tc>
      </w:tr>
      <w:tr w:rsidR="0077472D" w:rsidRPr="005365AA" w14:paraId="2FEA026D" w14:textId="77777777" w:rsidTr="4DCF16DC">
        <w:trPr>
          <w:trHeight w:val="300"/>
        </w:trPr>
        <w:tc>
          <w:tcPr>
            <w:tcW w:w="3315" w:type="dxa"/>
            <w:hideMark/>
          </w:tcPr>
          <w:p w14:paraId="031CDA85"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04F7C26A" w14:textId="77777777" w:rsidR="0077472D" w:rsidRPr="005365AA" w:rsidRDefault="0077472D" w:rsidP="4DCF16DC">
            <w:pPr>
              <w:spacing w:after="0" w:line="240" w:lineRule="auto"/>
              <w:textAlignment w:val="baseline"/>
              <w:rPr>
                <w:rFonts w:eastAsiaTheme="minorEastAsia"/>
                <w:sz w:val="18"/>
                <w:szCs w:val="18"/>
                <w:lang w:eastAsia="hr-HR"/>
              </w:rPr>
            </w:pPr>
          </w:p>
        </w:tc>
      </w:tr>
    </w:tbl>
    <w:p w14:paraId="37D6D9FD" w14:textId="3F6BD69F" w:rsidR="0077472D" w:rsidRDefault="0077472D" w:rsidP="005365AA"/>
    <w:p w14:paraId="271563D9" w14:textId="7AA441F6" w:rsidR="0077472D" w:rsidRDefault="0077472D" w:rsidP="005365AA"/>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1"/>
        <w:gridCol w:w="6571"/>
      </w:tblGrid>
      <w:tr w:rsidR="0077472D" w:rsidRPr="005365AA" w14:paraId="297F9C1E" w14:textId="77777777" w:rsidTr="4DCF16DC">
        <w:trPr>
          <w:trHeight w:val="300"/>
        </w:trPr>
        <w:tc>
          <w:tcPr>
            <w:tcW w:w="3315" w:type="dxa"/>
            <w:hideMark/>
          </w:tcPr>
          <w:p w14:paraId="711903C0" w14:textId="3B9AD38E"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67B1C280" w14:textId="4B71FA9C" w:rsidR="0077472D" w:rsidRPr="005365AA" w:rsidRDefault="68C61CBE" w:rsidP="4DCF16DC">
            <w:pPr>
              <w:spacing w:after="0" w:line="240" w:lineRule="auto"/>
              <w:textAlignment w:val="baseline"/>
              <w:rPr>
                <w:rFonts w:eastAsiaTheme="minorEastAsia"/>
                <w:sz w:val="18"/>
                <w:szCs w:val="18"/>
                <w:lang w:val="en-US"/>
              </w:rPr>
            </w:pPr>
            <w:r w:rsidRPr="4DCF16DC">
              <w:rPr>
                <w:rFonts w:eastAsiaTheme="minorEastAsia"/>
                <w:b/>
                <w:bCs/>
                <w:sz w:val="18"/>
                <w:szCs w:val="18"/>
                <w:lang w:val="en-US" w:eastAsia="hr-HR"/>
              </w:rPr>
              <w:t xml:space="preserve"> </w:t>
            </w:r>
            <w:r w:rsidR="5964ABF9" w:rsidRPr="4DCF16DC">
              <w:rPr>
                <w:rFonts w:eastAsiaTheme="minorEastAsia"/>
                <w:color w:val="212121"/>
                <w:sz w:val="18"/>
                <w:szCs w:val="18"/>
                <w:lang w:val="en-US"/>
              </w:rPr>
              <w:t xml:space="preserve">Vieira, D., Silva Dias, T., Dudley, D., &amp; Batista, P. (2025). Exploring physical literacy in school contexts: a systematic review of qualitative evidence. </w:t>
            </w:r>
            <w:r w:rsidR="5964ABF9" w:rsidRPr="4DCF16DC">
              <w:rPr>
                <w:rFonts w:eastAsiaTheme="minorEastAsia"/>
                <w:i/>
                <w:iCs/>
                <w:color w:val="212121"/>
                <w:sz w:val="18"/>
                <w:szCs w:val="18"/>
                <w:lang w:val="en-US"/>
              </w:rPr>
              <w:t>Frontiers in sports and active living</w:t>
            </w:r>
            <w:r w:rsidR="5964ABF9" w:rsidRPr="4DCF16DC">
              <w:rPr>
                <w:rFonts w:eastAsiaTheme="minorEastAsia"/>
                <w:color w:val="212121"/>
                <w:sz w:val="18"/>
                <w:szCs w:val="18"/>
                <w:lang w:val="en-US"/>
              </w:rPr>
              <w:t xml:space="preserve">, </w:t>
            </w:r>
            <w:r w:rsidR="5964ABF9" w:rsidRPr="4DCF16DC">
              <w:rPr>
                <w:rFonts w:eastAsiaTheme="minorEastAsia"/>
                <w:i/>
                <w:iCs/>
                <w:color w:val="212121"/>
                <w:sz w:val="18"/>
                <w:szCs w:val="18"/>
                <w:lang w:val="en-US"/>
              </w:rPr>
              <w:t>7</w:t>
            </w:r>
            <w:r w:rsidR="5964ABF9" w:rsidRPr="4DCF16DC">
              <w:rPr>
                <w:rFonts w:eastAsiaTheme="minorEastAsia"/>
                <w:color w:val="212121"/>
                <w:sz w:val="18"/>
                <w:szCs w:val="18"/>
                <w:lang w:val="en-US"/>
              </w:rPr>
              <w:t>, 1713780. https://doi.org/10.3389/fspor.2025.1713780</w:t>
            </w:r>
          </w:p>
        </w:tc>
      </w:tr>
      <w:tr w:rsidR="0077472D" w:rsidRPr="005365AA" w14:paraId="33BF850D" w14:textId="77777777" w:rsidTr="4DCF16DC">
        <w:trPr>
          <w:trHeight w:val="300"/>
        </w:trPr>
        <w:tc>
          <w:tcPr>
            <w:tcW w:w="3315" w:type="dxa"/>
            <w:hideMark/>
          </w:tcPr>
          <w:p w14:paraId="1F94E8C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2EB36892" w14:textId="592D271F" w:rsidR="0077472D" w:rsidRPr="005365AA" w:rsidRDefault="5149C41E"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doi: 10.3389/fspor.2025.1713780 </w:t>
            </w:r>
          </w:p>
        </w:tc>
      </w:tr>
      <w:tr w:rsidR="0077472D" w:rsidRPr="005365AA" w14:paraId="4242A7E0" w14:textId="77777777" w:rsidTr="4DCF16DC">
        <w:trPr>
          <w:trHeight w:val="300"/>
        </w:trPr>
        <w:tc>
          <w:tcPr>
            <w:tcW w:w="3315" w:type="dxa"/>
            <w:hideMark/>
          </w:tcPr>
          <w:p w14:paraId="55601FA9"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63AB6B5D" w14:textId="50F46E4F" w:rsidR="0077472D" w:rsidRPr="005365AA" w:rsidRDefault="0164EA26"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Tjelesna pismenost</w:t>
            </w:r>
          </w:p>
        </w:tc>
      </w:tr>
      <w:tr w:rsidR="0077472D" w:rsidRPr="005365AA" w14:paraId="101C64B3" w14:textId="77777777" w:rsidTr="4DCF16DC">
        <w:trPr>
          <w:trHeight w:val="300"/>
        </w:trPr>
        <w:tc>
          <w:tcPr>
            <w:tcW w:w="3315" w:type="dxa"/>
          </w:tcPr>
          <w:p w14:paraId="122F1518"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3348EF98" w14:textId="0955B452" w:rsidR="0077472D" w:rsidRPr="005365AA" w:rsidRDefault="182E62E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Ana Đerek</w:t>
            </w:r>
          </w:p>
        </w:tc>
      </w:tr>
      <w:tr w:rsidR="0077472D" w:rsidRPr="005365AA" w14:paraId="4708DA66" w14:textId="77777777" w:rsidTr="4DCF16DC">
        <w:trPr>
          <w:trHeight w:val="300"/>
        </w:trPr>
        <w:tc>
          <w:tcPr>
            <w:tcW w:w="3315" w:type="dxa"/>
            <w:hideMark/>
          </w:tcPr>
          <w:p w14:paraId="2C4FEFA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1A8F41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19A7FE54"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5CD4A14C"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43CD71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0D13AE0D" w14:textId="78D7FCB2" w:rsidR="0077472D" w:rsidRPr="005365AA" w:rsidRDefault="39BE523A"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 xml:space="preserve"> 1</w:t>
            </w:r>
          </w:p>
        </w:tc>
      </w:tr>
      <w:tr w:rsidR="0077472D" w:rsidRPr="005365AA" w14:paraId="77F4687A" w14:textId="77777777" w:rsidTr="4DCF16DC">
        <w:trPr>
          <w:trHeight w:val="300"/>
        </w:trPr>
        <w:tc>
          <w:tcPr>
            <w:tcW w:w="3315" w:type="dxa"/>
            <w:hideMark/>
          </w:tcPr>
          <w:p w14:paraId="39AF654E"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18CE2A8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6FA0BD99" w14:textId="594BC607"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sz w:val="18"/>
                <w:szCs w:val="18"/>
                <w:lang w:eastAsia="hr-HR"/>
              </w:rPr>
              <w:t xml:space="preserve">  </w:t>
            </w:r>
            <w:r w:rsidRPr="4DCF16DC">
              <w:rPr>
                <w:rFonts w:eastAsiaTheme="minorEastAsia"/>
                <w:b/>
                <w:bCs/>
                <w:noProof/>
                <w:sz w:val="18"/>
                <w:szCs w:val="18"/>
                <w:lang w:val="en-US" w:eastAsia="hr-HR"/>
              </w:rPr>
              <w:t>Background</w:t>
            </w:r>
            <w:r w:rsidRPr="4DCF16DC">
              <w:rPr>
                <w:rFonts w:eastAsiaTheme="minorEastAsia"/>
                <w:noProof/>
                <w:sz w:val="18"/>
                <w:szCs w:val="18"/>
                <w:lang w:val="en-US" w:eastAsia="hr-HR"/>
              </w:rPr>
              <w:t>: Physical Literacy (PL) is widely acknowledged in international</w:t>
            </w:r>
          </w:p>
          <w:p w14:paraId="79DF2FAE" w14:textId="5AC1B920"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policy documents for its holistic contribution to promoting lifelong physical</w:t>
            </w:r>
          </w:p>
          <w:p w14:paraId="0EFA15C2" w14:textId="1C85B858"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activity. It encompasses four interconnected learning domains (physical,</w:t>
            </w:r>
          </w:p>
          <w:p w14:paraId="12392F57" w14:textId="0B29FD4C"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psychological, cognitive, and social), thus extending beyond motor</w:t>
            </w:r>
          </w:p>
          <w:p w14:paraId="5EE4CE60" w14:textId="035C02EE"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competence. Although theoretical developments in PL have advanced,</w:t>
            </w:r>
          </w:p>
          <w:p w14:paraId="27F5B75E" w14:textId="401766AE"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qualitative insights into its implementation and experience within schoolbased</w:t>
            </w:r>
            <w:r w:rsidR="75B0975C" w:rsidRPr="4DCF16DC">
              <w:rPr>
                <w:rFonts w:eastAsiaTheme="minorEastAsia"/>
                <w:noProof/>
                <w:sz w:val="18"/>
                <w:szCs w:val="18"/>
                <w:lang w:val="en-US" w:eastAsia="hr-HR"/>
              </w:rPr>
              <w:t xml:space="preserve"> i</w:t>
            </w:r>
            <w:r w:rsidRPr="4DCF16DC">
              <w:rPr>
                <w:rFonts w:eastAsiaTheme="minorEastAsia"/>
                <w:noProof/>
                <w:sz w:val="18"/>
                <w:szCs w:val="18"/>
                <w:lang w:val="en-US" w:eastAsia="hr-HR"/>
              </w:rPr>
              <w:t>nterventions remain limited. Existing reviews have largely</w:t>
            </w:r>
            <w:r w:rsidR="6A1DED79" w:rsidRPr="4DCF16DC">
              <w:rPr>
                <w:rFonts w:eastAsiaTheme="minorEastAsia"/>
                <w:noProof/>
                <w:sz w:val="18"/>
                <w:szCs w:val="18"/>
                <w:lang w:val="en-US" w:eastAsia="hr-HR"/>
              </w:rPr>
              <w:t xml:space="preserve"> f</w:t>
            </w:r>
            <w:r w:rsidRPr="4DCF16DC">
              <w:rPr>
                <w:rFonts w:eastAsiaTheme="minorEastAsia"/>
                <w:noProof/>
                <w:sz w:val="18"/>
                <w:szCs w:val="18"/>
                <w:lang w:val="en-US" w:eastAsia="hr-HR"/>
              </w:rPr>
              <w:t>ocused on</w:t>
            </w:r>
            <w:r w:rsidR="54C52AFF" w:rsidRPr="4DCF16DC">
              <w:rPr>
                <w:rFonts w:eastAsiaTheme="minorEastAsia"/>
                <w:noProof/>
                <w:sz w:val="18"/>
                <w:szCs w:val="18"/>
                <w:lang w:val="en-US" w:eastAsia="hr-HR"/>
              </w:rPr>
              <w:t xml:space="preserve"> q</w:t>
            </w:r>
            <w:r w:rsidRPr="4DCF16DC">
              <w:rPr>
                <w:rFonts w:eastAsiaTheme="minorEastAsia"/>
                <w:noProof/>
                <w:sz w:val="18"/>
                <w:szCs w:val="18"/>
                <w:lang w:val="en-US" w:eastAsia="hr-HR"/>
              </w:rPr>
              <w:t>uantitative outcomes, often reinforcing the centrality of the physical learning</w:t>
            </w:r>
            <w:r w:rsidR="6A802591" w:rsidRPr="4DCF16DC">
              <w:rPr>
                <w:rFonts w:eastAsiaTheme="minorEastAsia"/>
                <w:noProof/>
                <w:sz w:val="18"/>
                <w:szCs w:val="18"/>
                <w:lang w:val="en-US" w:eastAsia="hr-HR"/>
              </w:rPr>
              <w:t xml:space="preserve"> d</w:t>
            </w:r>
            <w:r w:rsidRPr="4DCF16DC">
              <w:rPr>
                <w:rFonts w:eastAsiaTheme="minorEastAsia"/>
                <w:noProof/>
                <w:sz w:val="18"/>
                <w:szCs w:val="18"/>
                <w:lang w:val="en-US" w:eastAsia="hr-HR"/>
              </w:rPr>
              <w:t>omain while overlooking the cognitive, psychological, and social dimensions</w:t>
            </w:r>
            <w:r w:rsidR="244B1614" w:rsidRPr="4DCF16DC">
              <w:rPr>
                <w:rFonts w:eastAsiaTheme="minorEastAsia"/>
                <w:noProof/>
                <w:sz w:val="18"/>
                <w:szCs w:val="18"/>
                <w:lang w:val="en-US" w:eastAsia="hr-HR"/>
              </w:rPr>
              <w:t xml:space="preserve"> o</w:t>
            </w:r>
            <w:r w:rsidRPr="4DCF16DC">
              <w:rPr>
                <w:rFonts w:eastAsiaTheme="minorEastAsia"/>
                <w:noProof/>
                <w:sz w:val="18"/>
                <w:szCs w:val="18"/>
                <w:lang w:val="en-US" w:eastAsia="hr-HR"/>
              </w:rPr>
              <w:t>f PL.</w:t>
            </w:r>
          </w:p>
          <w:p w14:paraId="00CD5EA8" w14:textId="46D3CD94"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b/>
                <w:bCs/>
                <w:sz w:val="18"/>
                <w:szCs w:val="18"/>
                <w:lang w:val="en-US" w:eastAsia="hr-HR"/>
              </w:rPr>
              <w:t>P</w:t>
            </w:r>
            <w:r w:rsidRPr="4DCF16DC">
              <w:rPr>
                <w:rFonts w:eastAsiaTheme="minorEastAsia"/>
                <w:b/>
                <w:bCs/>
                <w:noProof/>
                <w:sz w:val="18"/>
                <w:szCs w:val="18"/>
                <w:lang w:val="en-US" w:eastAsia="hr-HR"/>
              </w:rPr>
              <w:t>urpose</w:t>
            </w:r>
            <w:r w:rsidRPr="4DCF16DC">
              <w:rPr>
                <w:rFonts w:eastAsiaTheme="minorEastAsia"/>
                <w:noProof/>
                <w:sz w:val="18"/>
                <w:szCs w:val="18"/>
                <w:lang w:val="en-US" w:eastAsia="hr-HR"/>
              </w:rPr>
              <w:t>: This study builds on previous reviews by mapping qualitative data</w:t>
            </w:r>
            <w:r w:rsidR="6F1491DD" w:rsidRPr="4DCF16DC">
              <w:rPr>
                <w:rFonts w:eastAsiaTheme="minorEastAsia"/>
                <w:noProof/>
                <w:sz w:val="18"/>
                <w:szCs w:val="18"/>
                <w:lang w:val="en-US" w:eastAsia="hr-HR"/>
              </w:rPr>
              <w:t xml:space="preserve"> o</w:t>
            </w:r>
            <w:r w:rsidRPr="4DCF16DC">
              <w:rPr>
                <w:rFonts w:eastAsiaTheme="minorEastAsia"/>
                <w:noProof/>
                <w:sz w:val="18"/>
                <w:szCs w:val="18"/>
                <w:lang w:val="en-US" w:eastAsia="hr-HR"/>
              </w:rPr>
              <w:t>n</w:t>
            </w:r>
            <w:r w:rsidR="0DA40A40" w:rsidRPr="4DCF16DC">
              <w:rPr>
                <w:rFonts w:eastAsiaTheme="minorEastAsia"/>
                <w:noProof/>
                <w:sz w:val="18"/>
                <w:szCs w:val="18"/>
                <w:lang w:val="en-US" w:eastAsia="hr-HR"/>
              </w:rPr>
              <w:t xml:space="preserve"> s</w:t>
            </w:r>
            <w:r w:rsidRPr="4DCF16DC">
              <w:rPr>
                <w:rFonts w:eastAsiaTheme="minorEastAsia"/>
                <w:noProof/>
                <w:sz w:val="18"/>
                <w:szCs w:val="18"/>
                <w:lang w:val="en-US" w:eastAsia="hr-HR"/>
              </w:rPr>
              <w:t>chool-based PL interventions. The goal was to deeply understand how PL is</w:t>
            </w:r>
            <w:r w:rsidR="769B2FEA" w:rsidRPr="4DCF16DC">
              <w:rPr>
                <w:rFonts w:eastAsiaTheme="minorEastAsia"/>
                <w:noProof/>
                <w:sz w:val="18"/>
                <w:szCs w:val="18"/>
                <w:lang w:val="en-US" w:eastAsia="hr-HR"/>
              </w:rPr>
              <w:t xml:space="preserve"> d</w:t>
            </w:r>
            <w:r w:rsidRPr="4DCF16DC">
              <w:rPr>
                <w:rFonts w:eastAsiaTheme="minorEastAsia"/>
                <w:noProof/>
                <w:sz w:val="18"/>
                <w:szCs w:val="18"/>
                <w:lang w:val="en-US" w:eastAsia="hr-HR"/>
              </w:rPr>
              <w:t>eveloped and experienced in authentic educational contexts.</w:t>
            </w:r>
          </w:p>
          <w:p w14:paraId="41637C90" w14:textId="5CD1DAA7"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b/>
                <w:bCs/>
                <w:noProof/>
                <w:sz w:val="18"/>
                <w:szCs w:val="18"/>
                <w:lang w:val="en-US" w:eastAsia="hr-HR"/>
              </w:rPr>
              <w:t>Methods</w:t>
            </w:r>
            <w:r w:rsidRPr="4DCF16DC">
              <w:rPr>
                <w:rFonts w:eastAsiaTheme="minorEastAsia"/>
                <w:noProof/>
                <w:sz w:val="18"/>
                <w:szCs w:val="18"/>
                <w:lang w:val="en-US" w:eastAsia="hr-HR"/>
              </w:rPr>
              <w:t>: Following the PRISMA 2020 guidelines, a three-stage search strategy</w:t>
            </w:r>
            <w:r w:rsidR="0F7BB397" w:rsidRPr="4DCF16DC">
              <w:rPr>
                <w:rFonts w:eastAsiaTheme="minorEastAsia"/>
                <w:noProof/>
                <w:sz w:val="18"/>
                <w:szCs w:val="18"/>
                <w:lang w:val="en-US" w:eastAsia="hr-HR"/>
              </w:rPr>
              <w:t xml:space="preserve"> w</w:t>
            </w:r>
            <w:r w:rsidRPr="4DCF16DC">
              <w:rPr>
                <w:rFonts w:eastAsiaTheme="minorEastAsia"/>
                <w:noProof/>
                <w:sz w:val="18"/>
                <w:szCs w:val="18"/>
                <w:lang w:val="en-US" w:eastAsia="hr-HR"/>
              </w:rPr>
              <w:t>as conducted across seven databases (EBSCOhost, ProQuest, Cochrane,</w:t>
            </w:r>
            <w:r w:rsidR="3C3BB87B" w:rsidRPr="4DCF16DC">
              <w:rPr>
                <w:rFonts w:eastAsiaTheme="minorEastAsia"/>
                <w:noProof/>
                <w:sz w:val="18"/>
                <w:szCs w:val="18"/>
                <w:lang w:val="en-US" w:eastAsia="hr-HR"/>
              </w:rPr>
              <w:t xml:space="preserve"> P</w:t>
            </w:r>
            <w:r w:rsidRPr="4DCF16DC">
              <w:rPr>
                <w:rFonts w:eastAsiaTheme="minorEastAsia"/>
                <w:noProof/>
                <w:sz w:val="18"/>
                <w:szCs w:val="18"/>
                <w:lang w:val="en-US" w:eastAsia="hr-HR"/>
              </w:rPr>
              <w:t>ubMed, ScienceDirect, Scopus, Web of Science). Eligibility criteria for the</w:t>
            </w:r>
            <w:r w:rsidR="1724897A" w:rsidRPr="4DCF16DC">
              <w:rPr>
                <w:rFonts w:eastAsiaTheme="minorEastAsia"/>
                <w:noProof/>
                <w:sz w:val="18"/>
                <w:szCs w:val="18"/>
                <w:lang w:val="en-US" w:eastAsia="hr-HR"/>
              </w:rPr>
              <w:t xml:space="preserve"> r</w:t>
            </w:r>
            <w:r w:rsidRPr="4DCF16DC">
              <w:rPr>
                <w:rFonts w:eastAsiaTheme="minorEastAsia"/>
                <w:noProof/>
                <w:sz w:val="18"/>
                <w:szCs w:val="18"/>
                <w:lang w:val="en-US" w:eastAsia="hr-HR"/>
              </w:rPr>
              <w:t>eview required full-text studies on: PL interventions; conducted in school</w:t>
            </w:r>
            <w:r w:rsidR="0D196E67" w:rsidRPr="4DCF16DC">
              <w:rPr>
                <w:rFonts w:eastAsiaTheme="minorEastAsia"/>
                <w:noProof/>
                <w:sz w:val="18"/>
                <w:szCs w:val="18"/>
                <w:lang w:val="en-US" w:eastAsia="hr-HR"/>
              </w:rPr>
              <w:t xml:space="preserve"> s</w:t>
            </w:r>
            <w:r w:rsidRPr="4DCF16DC">
              <w:rPr>
                <w:rFonts w:eastAsiaTheme="minorEastAsia"/>
                <w:noProof/>
                <w:sz w:val="18"/>
                <w:szCs w:val="18"/>
                <w:lang w:val="en-US" w:eastAsia="hr-HR"/>
              </w:rPr>
              <w:t>ettings; targeting individuals aged 5–18 years; reporting qualitative results;</w:t>
            </w:r>
            <w:r w:rsidR="31797979" w:rsidRPr="4DCF16DC">
              <w:rPr>
                <w:rFonts w:eastAsiaTheme="minorEastAsia"/>
                <w:noProof/>
                <w:sz w:val="18"/>
                <w:szCs w:val="18"/>
                <w:lang w:val="en-US" w:eastAsia="hr-HR"/>
              </w:rPr>
              <w:t xml:space="preserve"> a</w:t>
            </w:r>
            <w:r w:rsidRPr="4DCF16DC">
              <w:rPr>
                <w:rFonts w:eastAsiaTheme="minorEastAsia"/>
                <w:noProof/>
                <w:sz w:val="18"/>
                <w:szCs w:val="18"/>
                <w:lang w:val="en-US" w:eastAsia="hr-HR"/>
              </w:rPr>
              <w:t>nd written in English, Portuguese and Spanish. Twenty-one studies met the</w:t>
            </w:r>
            <w:r w:rsidR="62A42D65" w:rsidRPr="4DCF16DC">
              <w:rPr>
                <w:rFonts w:eastAsiaTheme="minorEastAsia"/>
                <w:noProof/>
                <w:sz w:val="18"/>
                <w:szCs w:val="18"/>
                <w:lang w:val="en-US" w:eastAsia="hr-HR"/>
              </w:rPr>
              <w:t xml:space="preserve"> e</w:t>
            </w:r>
            <w:r w:rsidRPr="4DCF16DC">
              <w:rPr>
                <w:rFonts w:eastAsiaTheme="minorEastAsia"/>
                <w:noProof/>
                <w:sz w:val="18"/>
                <w:szCs w:val="18"/>
                <w:lang w:val="en-US" w:eastAsia="hr-HR"/>
              </w:rPr>
              <w:t>ligibility criteria and were analysed using a hybrid thematic approach,</w:t>
            </w:r>
            <w:r w:rsidR="2EDA900B" w:rsidRPr="4DCF16DC">
              <w:rPr>
                <w:rFonts w:eastAsiaTheme="minorEastAsia"/>
                <w:noProof/>
                <w:sz w:val="18"/>
                <w:szCs w:val="18"/>
                <w:lang w:val="en-US" w:eastAsia="hr-HR"/>
              </w:rPr>
              <w:t xml:space="preserve"> c</w:t>
            </w:r>
            <w:r w:rsidRPr="4DCF16DC">
              <w:rPr>
                <w:rFonts w:eastAsiaTheme="minorEastAsia"/>
                <w:noProof/>
                <w:sz w:val="18"/>
                <w:szCs w:val="18"/>
                <w:lang w:val="en-US" w:eastAsia="hr-HR"/>
              </w:rPr>
              <w:t>ombining deductive and inductive approaches.</w:t>
            </w:r>
          </w:p>
          <w:p w14:paraId="01550918" w14:textId="01A5A1A7"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b/>
                <w:bCs/>
                <w:noProof/>
                <w:sz w:val="18"/>
                <w:szCs w:val="18"/>
                <w:lang w:val="en-US" w:eastAsia="hr-HR"/>
              </w:rPr>
              <w:t>Findings</w:t>
            </w:r>
            <w:r w:rsidRPr="4DCF16DC">
              <w:rPr>
                <w:rFonts w:eastAsiaTheme="minorEastAsia"/>
                <w:noProof/>
                <w:sz w:val="18"/>
                <w:szCs w:val="18"/>
                <w:lang w:val="en-US" w:eastAsia="hr-HR"/>
              </w:rPr>
              <w:t>: The thematic analysis yielded three themes: i) elements and</w:t>
            </w:r>
          </w:p>
          <w:p w14:paraId="7185184F" w14:textId="29417C29"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pedagogical strategies related to the four domains of physical literacy; ii)</w:t>
            </w:r>
          </w:p>
          <w:p w14:paraId="768C4B40" w14:textId="54EFA7B9"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challenges to program implementation; and iii) recommendations for</w:t>
            </w:r>
          </w:p>
          <w:p w14:paraId="0A610CF6" w14:textId="487AC153"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practice. Results reveal an emphasis on the psychological domain, particularly</w:t>
            </w:r>
          </w:p>
          <w:p w14:paraId="789E4FB7" w14:textId="1D38154D"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aspects like motivation, confidence, and engagement, with less attention</w:t>
            </w:r>
          </w:p>
          <w:p w14:paraId="47B334A4" w14:textId="2234D9AE"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given to the physical and social domains. Nevertheless, many interventions</w:t>
            </w:r>
          </w:p>
          <w:p w14:paraId="547BAE57" w14:textId="1EE2D67C"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effectively integrated pedagogical strategies that fostered multiple domains</w:t>
            </w:r>
          </w:p>
          <w:p w14:paraId="6A3319BD" w14:textId="46CE215A"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simultaneously, reinforcing PL’s holistic nature. Student-centred learning,</w:t>
            </w:r>
          </w:p>
          <w:p w14:paraId="64DEE042" w14:textId="6E09DB2E"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ipsative assessment, autonomy-supportive teaching, and peer collaboration</w:t>
            </w:r>
          </w:p>
          <w:p w14:paraId="4886CA79" w14:textId="16CD1686"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were consistently linked to positive outcomes across domains.</w:t>
            </w:r>
          </w:p>
          <w:p w14:paraId="067EA3EA" w14:textId="75A4C96F"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 xml:space="preserve"> </w:t>
            </w:r>
            <w:r w:rsidRPr="4DCF16DC">
              <w:rPr>
                <w:rFonts w:eastAsiaTheme="minorEastAsia"/>
                <w:b/>
                <w:bCs/>
                <w:noProof/>
                <w:sz w:val="18"/>
                <w:szCs w:val="18"/>
                <w:lang w:val="en-US" w:eastAsia="hr-HR"/>
              </w:rPr>
              <w:t>Conclusions</w:t>
            </w:r>
            <w:r w:rsidRPr="4DCF16DC">
              <w:rPr>
                <w:rFonts w:eastAsiaTheme="minorEastAsia"/>
                <w:noProof/>
                <w:sz w:val="18"/>
                <w:szCs w:val="18"/>
                <w:lang w:val="en-US" w:eastAsia="hr-HR"/>
              </w:rPr>
              <w:t>: The review offers insight into how PL is operationalised and</w:t>
            </w:r>
          </w:p>
          <w:p w14:paraId="271FB567" w14:textId="4A39BE90"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experienced in schools. Four main conclusions emerged: i) students engage</w:t>
            </w:r>
          </w:p>
          <w:p w14:paraId="3842DBBB" w14:textId="01C2574E" w:rsidR="0077472D" w:rsidRPr="005365AA" w:rsidRDefault="52DD8D50" w:rsidP="4DCF16DC">
            <w:pPr>
              <w:spacing w:after="0" w:line="240" w:lineRule="auto"/>
              <w:textAlignment w:val="baseline"/>
              <w:rPr>
                <w:rFonts w:eastAsiaTheme="minorEastAsia"/>
                <w:noProof/>
                <w:sz w:val="18"/>
                <w:szCs w:val="18"/>
                <w:lang w:val="en-US" w:eastAsia="hr-HR"/>
              </w:rPr>
            </w:pPr>
            <w:r w:rsidRPr="4DCF16DC">
              <w:rPr>
                <w:rFonts w:eastAsiaTheme="minorEastAsia"/>
                <w:noProof/>
                <w:sz w:val="18"/>
                <w:szCs w:val="18"/>
                <w:lang w:val="en-US" w:eastAsia="hr-HR"/>
              </w:rPr>
              <w:t>more deeply with flexible, inclusive, and individualised programmes; ii) studentcentred</w:t>
            </w:r>
            <w:r w:rsidR="752AA577" w:rsidRPr="4DCF16DC">
              <w:rPr>
                <w:rFonts w:eastAsiaTheme="minorEastAsia"/>
                <w:noProof/>
                <w:sz w:val="18"/>
                <w:szCs w:val="18"/>
                <w:lang w:val="en-US" w:eastAsia="hr-HR"/>
              </w:rPr>
              <w:t xml:space="preserve"> m</w:t>
            </w:r>
            <w:r w:rsidRPr="4DCF16DC">
              <w:rPr>
                <w:rFonts w:eastAsiaTheme="minorEastAsia"/>
                <w:noProof/>
                <w:sz w:val="18"/>
                <w:szCs w:val="18"/>
                <w:lang w:val="en-US" w:eastAsia="hr-HR"/>
              </w:rPr>
              <w:t>ethods and non-judgemental environments are particularly well</w:t>
            </w:r>
            <w:r w:rsidR="4300FFC1" w:rsidRPr="4DCF16DC">
              <w:rPr>
                <w:rFonts w:eastAsiaTheme="minorEastAsia"/>
                <w:noProof/>
                <w:sz w:val="18"/>
                <w:szCs w:val="18"/>
                <w:lang w:val="en-US" w:eastAsia="hr-HR"/>
              </w:rPr>
              <w:t xml:space="preserve"> r</w:t>
            </w:r>
            <w:r w:rsidRPr="4DCF16DC">
              <w:rPr>
                <w:rFonts w:eastAsiaTheme="minorEastAsia"/>
                <w:noProof/>
                <w:sz w:val="18"/>
                <w:szCs w:val="18"/>
                <w:lang w:val="en-US" w:eastAsia="hr-HR"/>
              </w:rPr>
              <w:t>eceived; iii) the teacher’s role is central to successful implementation; and iv)</w:t>
            </w:r>
            <w:r w:rsidR="17906554" w:rsidRPr="4DCF16DC">
              <w:rPr>
                <w:rFonts w:eastAsiaTheme="minorEastAsia"/>
                <w:noProof/>
                <w:sz w:val="18"/>
                <w:szCs w:val="18"/>
                <w:lang w:val="en-US" w:eastAsia="hr-HR"/>
              </w:rPr>
              <w:t xml:space="preserve"> c</w:t>
            </w:r>
            <w:r w:rsidRPr="4DCF16DC">
              <w:rPr>
                <w:rFonts w:eastAsiaTheme="minorEastAsia"/>
                <w:noProof/>
                <w:sz w:val="18"/>
                <w:szCs w:val="18"/>
                <w:lang w:val="en-US" w:eastAsia="hr-HR"/>
              </w:rPr>
              <w:t>ontinuous professional development and collaborative opportunities for</w:t>
            </w:r>
            <w:r w:rsidR="1BAC2D2D" w:rsidRPr="4DCF16DC">
              <w:rPr>
                <w:rFonts w:eastAsiaTheme="minorEastAsia"/>
                <w:noProof/>
                <w:sz w:val="18"/>
                <w:szCs w:val="18"/>
                <w:lang w:val="en-US" w:eastAsia="hr-HR"/>
              </w:rPr>
              <w:t xml:space="preserve"> t</w:t>
            </w:r>
            <w:r w:rsidRPr="4DCF16DC">
              <w:rPr>
                <w:rFonts w:eastAsiaTheme="minorEastAsia"/>
                <w:noProof/>
                <w:sz w:val="18"/>
                <w:szCs w:val="18"/>
                <w:lang w:val="en-US" w:eastAsia="hr-HR"/>
              </w:rPr>
              <w:t>eachers are essential for sustaining high-quality PL practices.</w:t>
            </w:r>
          </w:p>
        </w:tc>
      </w:tr>
      <w:tr w:rsidR="0077472D" w:rsidRPr="005365AA" w14:paraId="24AB8441" w14:textId="77777777" w:rsidTr="4DCF16DC">
        <w:trPr>
          <w:trHeight w:val="300"/>
        </w:trPr>
        <w:tc>
          <w:tcPr>
            <w:tcW w:w="3315" w:type="dxa"/>
            <w:hideMark/>
          </w:tcPr>
          <w:p w14:paraId="7658FE76"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4F26F5AB" w14:textId="1B94606C" w:rsidR="0077472D" w:rsidRPr="005365AA" w:rsidRDefault="67766C55" w:rsidP="4DCF16DC">
            <w:pPr>
              <w:spacing w:after="0" w:line="240" w:lineRule="auto"/>
              <w:textAlignment w:val="baseline"/>
              <w:rPr>
                <w:rFonts w:eastAsiaTheme="minorEastAsia"/>
                <w:sz w:val="18"/>
                <w:szCs w:val="18"/>
              </w:rPr>
            </w:pPr>
            <w:r w:rsidRPr="4DCF16DC">
              <w:rPr>
                <w:rFonts w:eastAsiaTheme="minorEastAsia"/>
                <w:sz w:val="18"/>
                <w:szCs w:val="18"/>
                <w:lang w:val="hr"/>
              </w:rPr>
              <w:t>tjelesna pismenost, tjelesna i zdravstvena kultura, kvalitativna sinteza, školske intervencije, strategije poučavanja i učenja</w:t>
            </w:r>
          </w:p>
        </w:tc>
      </w:tr>
      <w:tr w:rsidR="0077472D" w:rsidRPr="005365AA" w14:paraId="7F4FAB8B" w14:textId="77777777" w:rsidTr="4DCF16DC">
        <w:trPr>
          <w:trHeight w:val="300"/>
        </w:trPr>
        <w:tc>
          <w:tcPr>
            <w:tcW w:w="3315" w:type="dxa"/>
            <w:hideMark/>
          </w:tcPr>
          <w:p w14:paraId="62FD7100"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6DA6E791" w14:textId="01F53CA6" w:rsidR="0077472D" w:rsidRPr="005365AA" w:rsidRDefault="633B5D37" w:rsidP="4DCF16DC">
            <w:pPr>
              <w:spacing w:after="0" w:line="240" w:lineRule="auto"/>
              <w:textAlignment w:val="baseline"/>
              <w:rPr>
                <w:rFonts w:eastAsiaTheme="minorEastAsia"/>
                <w:sz w:val="18"/>
                <w:szCs w:val="18"/>
                <w:lang w:val="hr"/>
              </w:rPr>
            </w:pPr>
            <w:r w:rsidRPr="4DCF16DC">
              <w:rPr>
                <w:rFonts w:eastAsiaTheme="minorEastAsia"/>
                <w:sz w:val="18"/>
                <w:szCs w:val="18"/>
                <w:lang w:eastAsia="hr-HR"/>
              </w:rPr>
              <w:t xml:space="preserve"> </w:t>
            </w:r>
            <w:r w:rsidR="22F8A97D" w:rsidRPr="4DCF16DC">
              <w:rPr>
                <w:rFonts w:eastAsiaTheme="minorEastAsia"/>
                <w:sz w:val="18"/>
                <w:szCs w:val="18"/>
                <w:lang w:val="hr"/>
              </w:rPr>
              <w:t xml:space="preserve">Ovaj pregledni rad vezan je uz dostupne kvalitativne podatke o školskim intervencijama </w:t>
            </w:r>
            <w:r w:rsidR="07C1A587" w:rsidRPr="4DCF16DC">
              <w:rPr>
                <w:rFonts w:eastAsiaTheme="minorEastAsia"/>
                <w:sz w:val="18"/>
                <w:szCs w:val="18"/>
                <w:lang w:val="hr"/>
              </w:rPr>
              <w:t xml:space="preserve">za </w:t>
            </w:r>
            <w:r w:rsidR="22F8A97D" w:rsidRPr="4DCF16DC">
              <w:rPr>
                <w:rFonts w:eastAsiaTheme="minorEastAsia"/>
                <w:sz w:val="18"/>
                <w:szCs w:val="18"/>
                <w:lang w:val="hr"/>
              </w:rPr>
              <w:t>razvo</w:t>
            </w:r>
            <w:r w:rsidR="2F71DE5A" w:rsidRPr="4DCF16DC">
              <w:rPr>
                <w:rFonts w:eastAsiaTheme="minorEastAsia"/>
                <w:sz w:val="18"/>
                <w:szCs w:val="18"/>
                <w:lang w:val="hr"/>
              </w:rPr>
              <w:t>j tjelesne pismenosti</w:t>
            </w:r>
            <w:r w:rsidR="22F8A97D" w:rsidRPr="4DCF16DC">
              <w:rPr>
                <w:rFonts w:eastAsiaTheme="minorEastAsia"/>
                <w:sz w:val="18"/>
                <w:szCs w:val="18"/>
                <w:lang w:val="hr"/>
              </w:rPr>
              <w:t xml:space="preserve"> kako bi se produbilo</w:t>
            </w:r>
            <w:r w:rsidR="3B14224F" w:rsidRPr="4DCF16DC">
              <w:rPr>
                <w:rFonts w:eastAsiaTheme="minorEastAsia"/>
                <w:sz w:val="18"/>
                <w:szCs w:val="18"/>
                <w:lang w:val="hr"/>
              </w:rPr>
              <w:t xml:space="preserve"> r</w:t>
            </w:r>
            <w:r w:rsidR="22F8A97D" w:rsidRPr="4DCF16DC">
              <w:rPr>
                <w:rFonts w:eastAsiaTheme="minorEastAsia"/>
                <w:sz w:val="18"/>
                <w:szCs w:val="18"/>
                <w:lang w:val="hr"/>
              </w:rPr>
              <w:t xml:space="preserve">azumijevanje načina na koji se </w:t>
            </w:r>
            <w:r w:rsidR="5BC5B99E" w:rsidRPr="4DCF16DC">
              <w:rPr>
                <w:rFonts w:eastAsiaTheme="minorEastAsia"/>
                <w:sz w:val="18"/>
                <w:szCs w:val="18"/>
                <w:lang w:val="hr"/>
              </w:rPr>
              <w:t xml:space="preserve">tjelesna pismenost </w:t>
            </w:r>
            <w:r w:rsidR="22F8A97D" w:rsidRPr="4DCF16DC">
              <w:rPr>
                <w:rFonts w:eastAsiaTheme="minorEastAsia"/>
                <w:sz w:val="18"/>
                <w:szCs w:val="18"/>
                <w:lang w:val="hr"/>
              </w:rPr>
              <w:t xml:space="preserve">razvija i doživljava u autentičnim obrazovnim kontekstima. Konkretno, analizira kako se potiču različite domene </w:t>
            </w:r>
            <w:r w:rsidR="76C5E52B" w:rsidRPr="4DCF16DC">
              <w:rPr>
                <w:rFonts w:eastAsiaTheme="minorEastAsia"/>
                <w:sz w:val="18"/>
                <w:szCs w:val="18"/>
                <w:lang w:val="hr"/>
              </w:rPr>
              <w:t>tjelesne pismenosti</w:t>
            </w:r>
            <w:r w:rsidR="22F8A97D" w:rsidRPr="4DCF16DC">
              <w:rPr>
                <w:rFonts w:eastAsiaTheme="minorEastAsia"/>
                <w:sz w:val="18"/>
                <w:szCs w:val="18"/>
                <w:lang w:val="hr"/>
              </w:rPr>
              <w:t>, utjecaj pedagoških strategija i kako učitelji i pr</w:t>
            </w:r>
            <w:r w:rsidR="06B5FD13" w:rsidRPr="4DCF16DC">
              <w:rPr>
                <w:rFonts w:eastAsiaTheme="minorEastAsia"/>
                <w:sz w:val="18"/>
                <w:szCs w:val="18"/>
                <w:lang w:val="hr"/>
              </w:rPr>
              <w:t>ovoditelji</w:t>
            </w:r>
            <w:r w:rsidR="22F8A97D" w:rsidRPr="4DCF16DC">
              <w:rPr>
                <w:rFonts w:eastAsiaTheme="minorEastAsia"/>
                <w:sz w:val="18"/>
                <w:szCs w:val="18"/>
                <w:lang w:val="hr"/>
              </w:rPr>
              <w:t xml:space="preserve"> intervencija oblikuju kvalitetu i utjecaj programa.</w:t>
            </w:r>
          </w:p>
          <w:p w14:paraId="666A4D7F" w14:textId="64071F19" w:rsidR="0077472D" w:rsidRPr="005365AA" w:rsidRDefault="5DAB243B" w:rsidP="4DCF16DC">
            <w:pPr>
              <w:spacing w:after="0" w:line="240" w:lineRule="auto"/>
              <w:textAlignment w:val="baseline"/>
              <w:rPr>
                <w:rFonts w:eastAsiaTheme="minorEastAsia"/>
                <w:sz w:val="18"/>
                <w:szCs w:val="18"/>
                <w:lang w:val="hr"/>
              </w:rPr>
            </w:pPr>
            <w:r w:rsidRPr="4DCF16DC">
              <w:rPr>
                <w:rFonts w:eastAsiaTheme="minorEastAsia"/>
                <w:sz w:val="18"/>
                <w:szCs w:val="18"/>
                <w:lang w:val="hr"/>
              </w:rPr>
              <w:t>Dva glavna pitanja na koja su autori pokušali dati odgovore kroz ovaj rad:</w:t>
            </w:r>
          </w:p>
          <w:p w14:paraId="40639152" w14:textId="27A862C9" w:rsidR="0077472D" w:rsidRPr="005365AA" w:rsidRDefault="5DAB243B" w:rsidP="4DCF16DC">
            <w:pPr>
              <w:pStyle w:val="Odlomakpopisa"/>
              <w:numPr>
                <w:ilvl w:val="0"/>
                <w:numId w:val="2"/>
              </w:numPr>
              <w:spacing w:after="0" w:line="240" w:lineRule="auto"/>
              <w:textAlignment w:val="baseline"/>
              <w:rPr>
                <w:rFonts w:eastAsiaTheme="minorEastAsia"/>
                <w:sz w:val="18"/>
                <w:szCs w:val="18"/>
                <w:lang w:val="hr"/>
              </w:rPr>
            </w:pPr>
            <w:r w:rsidRPr="4DCF16DC">
              <w:rPr>
                <w:rFonts w:eastAsiaTheme="minorEastAsia"/>
                <w:sz w:val="18"/>
                <w:szCs w:val="18"/>
                <w:lang w:val="hr"/>
              </w:rPr>
              <w:t>Koji kvalitativni dokazi postoje o tome kako se različite domene TP-a (fizička, kognitivna, afektivna/psihološka i socijalna) potiču u školskim intervencijama?</w:t>
            </w:r>
          </w:p>
          <w:p w14:paraId="5D90ED31" w14:textId="4EA6938C" w:rsidR="0077472D" w:rsidRPr="005365AA" w:rsidRDefault="5DAB243B" w:rsidP="4DCF16DC">
            <w:pPr>
              <w:pStyle w:val="Odlomakpopisa"/>
              <w:numPr>
                <w:ilvl w:val="0"/>
                <w:numId w:val="2"/>
              </w:numPr>
              <w:spacing w:after="0" w:line="240" w:lineRule="auto"/>
              <w:textAlignment w:val="baseline"/>
              <w:rPr>
                <w:rFonts w:eastAsiaTheme="minorEastAsia"/>
                <w:sz w:val="18"/>
                <w:szCs w:val="18"/>
                <w:lang w:val="hr"/>
              </w:rPr>
            </w:pPr>
            <w:r w:rsidRPr="4DCF16DC">
              <w:rPr>
                <w:rFonts w:eastAsiaTheme="minorEastAsia"/>
                <w:sz w:val="18"/>
                <w:szCs w:val="18"/>
                <w:lang w:val="hr"/>
              </w:rPr>
              <w:t>Koje se pedagoške strategije koriste za promicanje TP-a i kako utječu na iskustva i ishode učenika.</w:t>
            </w:r>
          </w:p>
          <w:p w14:paraId="2FE50077" w14:textId="15BA7B37" w:rsidR="0077472D" w:rsidRPr="005365AA" w:rsidRDefault="0E84FF61" w:rsidP="4DCF16DC">
            <w:pPr>
              <w:spacing w:after="0" w:line="240" w:lineRule="auto"/>
              <w:textAlignment w:val="baseline"/>
              <w:rPr>
                <w:rFonts w:eastAsiaTheme="minorEastAsia"/>
                <w:sz w:val="18"/>
                <w:szCs w:val="18"/>
                <w:lang w:val="hr"/>
              </w:rPr>
            </w:pPr>
            <w:r w:rsidRPr="4DCF16DC">
              <w:rPr>
                <w:rFonts w:eastAsiaTheme="minorEastAsia"/>
                <w:sz w:val="18"/>
                <w:szCs w:val="18"/>
                <w:lang w:val="hr"/>
              </w:rPr>
              <w:t xml:space="preserve"> U ovaj pregledni rad uključeno je ukupno 21 istraživanje. </w:t>
            </w:r>
          </w:p>
        </w:tc>
      </w:tr>
      <w:tr w:rsidR="0077472D" w:rsidRPr="005365AA" w14:paraId="71D159F0" w14:textId="77777777" w:rsidTr="4DCF16DC">
        <w:trPr>
          <w:trHeight w:val="300"/>
        </w:trPr>
        <w:tc>
          <w:tcPr>
            <w:tcW w:w="3315" w:type="dxa"/>
            <w:hideMark/>
          </w:tcPr>
          <w:p w14:paraId="2E74FD4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5925DB3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3A6CB460" w14:textId="4357B173" w:rsidR="0077472D" w:rsidRPr="005365AA" w:rsidRDefault="0E820FC1" w:rsidP="4DCF16DC">
            <w:pPr>
              <w:spacing w:after="0" w:line="240" w:lineRule="auto"/>
              <w:textAlignment w:val="baseline"/>
              <w:rPr>
                <w:rFonts w:eastAsiaTheme="minorEastAsia"/>
                <w:sz w:val="18"/>
                <w:szCs w:val="18"/>
                <w:lang w:val="hr"/>
              </w:rPr>
            </w:pPr>
            <w:r w:rsidRPr="4DCF16DC">
              <w:rPr>
                <w:rFonts w:eastAsiaTheme="minorEastAsia"/>
                <w:sz w:val="18"/>
                <w:szCs w:val="18"/>
                <w:lang w:eastAsia="hr-HR"/>
              </w:rPr>
              <w:t xml:space="preserve"> </w:t>
            </w:r>
            <w:r w:rsidRPr="4DCF16DC">
              <w:rPr>
                <w:rFonts w:eastAsiaTheme="minorEastAsia"/>
                <w:sz w:val="18"/>
                <w:szCs w:val="18"/>
                <w:lang w:val="hr"/>
              </w:rPr>
              <w:t>Poboljšanja u jednoj domeni TP-a često čini se da olakšavaju napredak u drugima. Na primjer, poboljšanja u motivaciji i angažmanu (psihološko područje) često poboljšavaju tjelesnu kompetenciju i socijalnu interakciju (uočeno u 11 ist</w:t>
            </w:r>
            <w:r w:rsidR="5683815D" w:rsidRPr="4DCF16DC">
              <w:rPr>
                <w:rFonts w:eastAsiaTheme="minorEastAsia"/>
                <w:sz w:val="18"/>
                <w:szCs w:val="18"/>
                <w:lang w:val="hr"/>
              </w:rPr>
              <w:t>raživanja</w:t>
            </w:r>
            <w:r w:rsidRPr="4DCF16DC">
              <w:rPr>
                <w:rFonts w:eastAsiaTheme="minorEastAsia"/>
                <w:sz w:val="18"/>
                <w:szCs w:val="18"/>
                <w:lang w:val="hr"/>
              </w:rPr>
              <w:t>). Motivirani učenici skloniji su aktivnijem sudjelovanju,</w:t>
            </w:r>
            <w:r w:rsidR="72B2A150" w:rsidRPr="4DCF16DC">
              <w:rPr>
                <w:rFonts w:eastAsiaTheme="minorEastAsia"/>
                <w:sz w:val="18"/>
                <w:szCs w:val="18"/>
                <w:lang w:val="hr"/>
              </w:rPr>
              <w:t xml:space="preserve"> š</w:t>
            </w:r>
            <w:r w:rsidRPr="4DCF16DC">
              <w:rPr>
                <w:rFonts w:eastAsiaTheme="minorEastAsia"/>
                <w:sz w:val="18"/>
                <w:szCs w:val="18"/>
                <w:lang w:val="hr"/>
              </w:rPr>
              <w:t>to ne samo da je poboljšalo njihove motoričke vještine, već je i potaknulo</w:t>
            </w:r>
            <w:r w:rsidR="083CD78E" w:rsidRPr="4DCF16DC">
              <w:rPr>
                <w:rFonts w:eastAsiaTheme="minorEastAsia"/>
                <w:sz w:val="18"/>
                <w:szCs w:val="18"/>
                <w:lang w:val="hr"/>
              </w:rPr>
              <w:t xml:space="preserve"> s</w:t>
            </w:r>
            <w:r w:rsidRPr="4DCF16DC">
              <w:rPr>
                <w:rFonts w:eastAsiaTheme="minorEastAsia"/>
                <w:sz w:val="18"/>
                <w:szCs w:val="18"/>
                <w:lang w:val="hr"/>
              </w:rPr>
              <w:t xml:space="preserve">uradnju s vršnjacima. </w:t>
            </w:r>
            <w:r w:rsidR="516E9A5F" w:rsidRPr="4DCF16DC">
              <w:rPr>
                <w:rFonts w:eastAsiaTheme="minorEastAsia"/>
                <w:sz w:val="18"/>
                <w:szCs w:val="18"/>
                <w:lang w:val="hr"/>
              </w:rPr>
              <w:t xml:space="preserve"> </w:t>
            </w:r>
          </w:p>
          <w:p w14:paraId="259E41AF" w14:textId="59286B81" w:rsidR="0077472D" w:rsidRPr="005365AA" w:rsidRDefault="00E995F6" w:rsidP="4DCF16DC">
            <w:pPr>
              <w:spacing w:after="0" w:line="240" w:lineRule="auto"/>
              <w:textAlignment w:val="baseline"/>
              <w:rPr>
                <w:rFonts w:eastAsiaTheme="minorEastAsia"/>
                <w:sz w:val="18"/>
                <w:szCs w:val="18"/>
                <w:lang w:val="hr"/>
              </w:rPr>
            </w:pPr>
            <w:r w:rsidRPr="4DCF16DC">
              <w:rPr>
                <w:rFonts w:eastAsiaTheme="minorEastAsia"/>
                <w:sz w:val="18"/>
                <w:szCs w:val="18"/>
                <w:lang w:val="hr"/>
              </w:rPr>
              <w:t xml:space="preserve"> Glavni identificirani izazovi uključuju nedosljednosti u provedbi programa,</w:t>
            </w:r>
            <w:r w:rsidR="13165127">
              <w:br/>
            </w:r>
            <w:r w:rsidRPr="4DCF16DC">
              <w:rPr>
                <w:rFonts w:eastAsiaTheme="minorEastAsia"/>
                <w:sz w:val="18"/>
                <w:szCs w:val="18"/>
                <w:lang w:val="hr"/>
              </w:rPr>
              <w:t>koje mogu proizaći iz čimbenika kao što su vremenska ograničenja, prostorna</w:t>
            </w:r>
            <w:r w:rsidR="13165127">
              <w:br/>
            </w:r>
            <w:r w:rsidRPr="4DCF16DC">
              <w:rPr>
                <w:rFonts w:eastAsiaTheme="minorEastAsia"/>
                <w:sz w:val="18"/>
                <w:szCs w:val="18"/>
                <w:lang w:val="hr"/>
              </w:rPr>
              <w:t>ograničenja, problemi s nastavnim planom i programom ili otpor i</w:t>
            </w:r>
            <w:r w:rsidR="13165127">
              <w:br/>
            </w:r>
            <w:r w:rsidRPr="4DCF16DC">
              <w:rPr>
                <w:rFonts w:eastAsiaTheme="minorEastAsia"/>
                <w:sz w:val="18"/>
                <w:szCs w:val="18"/>
                <w:lang w:val="hr"/>
              </w:rPr>
              <w:t>poteškoće učitelja.</w:t>
            </w:r>
          </w:p>
          <w:p w14:paraId="54447DED" w14:textId="6F6A3B18" w:rsidR="0077472D" w:rsidRPr="005365AA" w:rsidRDefault="00E995F6" w:rsidP="4DCF16DC">
            <w:pPr>
              <w:spacing w:after="0" w:line="240" w:lineRule="auto"/>
              <w:textAlignment w:val="baseline"/>
              <w:rPr>
                <w:rFonts w:eastAsiaTheme="minorEastAsia"/>
                <w:sz w:val="18"/>
                <w:szCs w:val="18"/>
                <w:lang w:val="hr"/>
              </w:rPr>
            </w:pPr>
            <w:r w:rsidRPr="4DCF16DC">
              <w:rPr>
                <w:rFonts w:eastAsiaTheme="minorEastAsia"/>
                <w:sz w:val="18"/>
                <w:szCs w:val="18"/>
                <w:lang w:val="hr"/>
              </w:rPr>
              <w:t xml:space="preserve"> </w:t>
            </w:r>
            <w:r w:rsidR="6AFFDD4E" w:rsidRPr="4DCF16DC">
              <w:rPr>
                <w:rFonts w:eastAsiaTheme="minorEastAsia"/>
                <w:sz w:val="18"/>
                <w:szCs w:val="18"/>
                <w:lang w:val="hr"/>
              </w:rPr>
              <w:t xml:space="preserve">Autori ističu pozitivne učinke poticanja timskog rada u intervencijama, kao i autonomnosti učenika i vršnjačkog pomaganja pri učenju određenih vještina. </w:t>
            </w:r>
          </w:p>
          <w:p w14:paraId="1C57DD4B" w14:textId="2D5BF4FF" w:rsidR="0077472D" w:rsidRPr="005365AA" w:rsidRDefault="7D3E0A63" w:rsidP="4DCF16DC">
            <w:pPr>
              <w:spacing w:after="0" w:line="240" w:lineRule="auto"/>
              <w:textAlignment w:val="baseline"/>
              <w:rPr>
                <w:rFonts w:eastAsiaTheme="minorEastAsia"/>
                <w:sz w:val="18"/>
                <w:szCs w:val="18"/>
                <w:lang w:val="hr"/>
              </w:rPr>
            </w:pPr>
            <w:r w:rsidRPr="4DCF16DC">
              <w:rPr>
                <w:rFonts w:eastAsiaTheme="minorEastAsia"/>
                <w:sz w:val="18"/>
                <w:szCs w:val="18"/>
                <w:lang w:val="hr"/>
              </w:rPr>
              <w:t xml:space="preserve"> Nekoliko pedagoških značajki dosljedno se pojavljivalo u svim intervencijama i čini se ključnima za promicanje integriranog razvoja TP-a. To uključuje: samoreferencirani pristup učenju, neosuđujuće okruženje usmjereno na trud i</w:t>
            </w:r>
            <w:r w:rsidR="36D40EE3">
              <w:br/>
            </w:r>
            <w:r w:rsidRPr="4DCF16DC">
              <w:rPr>
                <w:rFonts w:eastAsiaTheme="minorEastAsia"/>
                <w:sz w:val="18"/>
                <w:szCs w:val="18"/>
                <w:lang w:val="hr"/>
              </w:rPr>
              <w:t>napredak i metodologije usmjerene na učenika</w:t>
            </w:r>
            <w:r w:rsidR="36D40EE3">
              <w:br/>
            </w:r>
            <w:r w:rsidRPr="4DCF16DC">
              <w:rPr>
                <w:rFonts w:eastAsiaTheme="minorEastAsia"/>
                <w:sz w:val="18"/>
                <w:szCs w:val="18"/>
                <w:lang w:val="hr"/>
              </w:rPr>
              <w:t>U sv</w:t>
            </w:r>
            <w:r w:rsidR="12AB264B" w:rsidRPr="4DCF16DC">
              <w:rPr>
                <w:rFonts w:eastAsiaTheme="minorEastAsia"/>
                <w:sz w:val="18"/>
                <w:szCs w:val="18"/>
                <w:lang w:val="hr"/>
              </w:rPr>
              <w:t>emu tome</w:t>
            </w:r>
            <w:r w:rsidRPr="4DCF16DC">
              <w:rPr>
                <w:rFonts w:eastAsiaTheme="minorEastAsia"/>
                <w:sz w:val="18"/>
                <w:szCs w:val="18"/>
                <w:lang w:val="hr"/>
              </w:rPr>
              <w:t xml:space="preserve">, </w:t>
            </w:r>
            <w:r w:rsidR="0B3C30D7" w:rsidRPr="4DCF16DC">
              <w:rPr>
                <w:rFonts w:eastAsiaTheme="minorEastAsia"/>
                <w:sz w:val="18"/>
                <w:szCs w:val="18"/>
                <w:lang w:val="hr"/>
              </w:rPr>
              <w:t xml:space="preserve">zajednička je </w:t>
            </w:r>
            <w:r w:rsidRPr="4DCF16DC">
              <w:rPr>
                <w:rFonts w:eastAsiaTheme="minorEastAsia"/>
                <w:sz w:val="18"/>
                <w:szCs w:val="18"/>
                <w:lang w:val="hr"/>
              </w:rPr>
              <w:t>istaknuta uloga</w:t>
            </w:r>
            <w:r w:rsidR="0D6D97FD" w:rsidRPr="4DCF16DC">
              <w:rPr>
                <w:rFonts w:eastAsiaTheme="minorEastAsia"/>
                <w:sz w:val="18"/>
                <w:szCs w:val="18"/>
                <w:lang w:val="hr"/>
              </w:rPr>
              <w:t xml:space="preserve"> učenika i poštovanje njegove</w:t>
            </w:r>
            <w:r w:rsidR="36D40EE3">
              <w:br/>
            </w:r>
            <w:r w:rsidRPr="4DCF16DC">
              <w:rPr>
                <w:rFonts w:eastAsiaTheme="minorEastAsia"/>
                <w:sz w:val="18"/>
                <w:szCs w:val="18"/>
                <w:lang w:val="hr"/>
              </w:rPr>
              <w:t>individualnosti</w:t>
            </w:r>
            <w:r w:rsidR="30C09136" w:rsidRPr="4DCF16DC">
              <w:rPr>
                <w:rFonts w:eastAsiaTheme="minorEastAsia"/>
                <w:sz w:val="18"/>
                <w:szCs w:val="18"/>
                <w:lang w:val="hr"/>
              </w:rPr>
              <w:t>.</w:t>
            </w:r>
          </w:p>
        </w:tc>
      </w:tr>
      <w:tr w:rsidR="0077472D" w:rsidRPr="005365AA" w14:paraId="48279E67" w14:textId="77777777" w:rsidTr="4DCF16DC">
        <w:trPr>
          <w:trHeight w:val="300"/>
        </w:trPr>
        <w:tc>
          <w:tcPr>
            <w:tcW w:w="3315" w:type="dxa"/>
            <w:hideMark/>
          </w:tcPr>
          <w:p w14:paraId="07744846"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1305511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66306D6A" w14:textId="4AC9A16D" w:rsidR="0077472D" w:rsidRPr="005365AA" w:rsidRDefault="6888FD71"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U ovom radu navedeno je 21 istraživanje koje nam može biti korisno i kao primjer dobre prakse. </w:t>
            </w:r>
          </w:p>
          <w:p w14:paraId="2453C63E" w14:textId="25A038E3" w:rsidR="0077472D" w:rsidRPr="005365AA" w:rsidRDefault="6888FD71"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Rad ističe važnost i kvalitativnih analiza uz kvantitativne metode. </w:t>
            </w:r>
          </w:p>
          <w:p w14:paraId="6323B355" w14:textId="31BE88D3" w:rsidR="0077472D" w:rsidRPr="005365AA" w:rsidRDefault="6888FD71"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Navedeni su konkretni primjeri strategija koje utječu na poboljšanje jedne ili više domena tjelesne pismenosti. </w:t>
            </w:r>
          </w:p>
          <w:p w14:paraId="4E059B67" w14:textId="3B2699F6" w:rsidR="0077472D" w:rsidRPr="005365AA" w:rsidRDefault="63F70848"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xml:space="preserve"> Pozivaju na pridržavanje PLIRT protokola za provedbu intervencija. </w:t>
            </w:r>
          </w:p>
        </w:tc>
      </w:tr>
      <w:tr w:rsidR="0077472D" w:rsidRPr="005365AA" w14:paraId="52BE7584" w14:textId="77777777" w:rsidTr="4DCF16DC">
        <w:trPr>
          <w:trHeight w:val="300"/>
        </w:trPr>
        <w:tc>
          <w:tcPr>
            <w:tcW w:w="3315" w:type="dxa"/>
            <w:hideMark/>
          </w:tcPr>
          <w:p w14:paraId="32F4A30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6E1FBDBA" w14:textId="77777777" w:rsidR="0077472D" w:rsidRPr="005365AA" w:rsidRDefault="0077472D" w:rsidP="4DCF16DC">
            <w:pPr>
              <w:spacing w:after="0" w:line="240" w:lineRule="auto"/>
              <w:textAlignment w:val="baseline"/>
              <w:rPr>
                <w:rFonts w:eastAsiaTheme="minorEastAsia"/>
                <w:sz w:val="18"/>
                <w:szCs w:val="18"/>
                <w:lang w:eastAsia="hr-HR"/>
              </w:rPr>
            </w:pPr>
          </w:p>
        </w:tc>
      </w:tr>
    </w:tbl>
    <w:p w14:paraId="0A837B2C" w14:textId="6FAF26FC" w:rsidR="0077472D" w:rsidRDefault="0077472D" w:rsidP="0077472D"/>
    <w:p w14:paraId="2D77902D" w14:textId="5EE2E749" w:rsidR="0077472D" w:rsidRDefault="0077472D" w:rsidP="0077472D"/>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0"/>
        <w:gridCol w:w="5882"/>
      </w:tblGrid>
      <w:tr w:rsidR="0077472D" w:rsidRPr="005365AA" w14:paraId="31751575" w14:textId="77777777" w:rsidTr="4DCF16DC">
        <w:trPr>
          <w:trHeight w:val="300"/>
        </w:trPr>
        <w:tc>
          <w:tcPr>
            <w:tcW w:w="3180" w:type="dxa"/>
            <w:hideMark/>
          </w:tcPr>
          <w:p w14:paraId="5BEB53DF" w14:textId="22054CB2"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5882" w:type="dxa"/>
          </w:tcPr>
          <w:p w14:paraId="497A7E1C" w14:textId="52B980DB" w:rsidR="0077472D" w:rsidRPr="005365AA" w:rsidRDefault="2CFBB5A2" w:rsidP="4DCF16DC">
            <w:pPr>
              <w:spacing w:after="0" w:line="240" w:lineRule="auto"/>
              <w:textAlignment w:val="baseline"/>
              <w:rPr>
                <w:rFonts w:eastAsiaTheme="minorEastAsia"/>
                <w:sz w:val="18"/>
                <w:szCs w:val="18"/>
                <w:lang w:val="en-US"/>
              </w:rPr>
            </w:pPr>
            <w:r w:rsidRPr="4DCF16DC">
              <w:rPr>
                <w:rFonts w:eastAsiaTheme="minorEastAsia"/>
                <w:sz w:val="18"/>
                <w:szCs w:val="18"/>
                <w:lang w:val="en-US"/>
              </w:rPr>
              <w:t xml:space="preserve">de Mello, G. T., Minatto, G., Costa, R. M., </w:t>
            </w:r>
            <w:r w:rsidRPr="4DCF16DC">
              <w:rPr>
                <w:rFonts w:eastAsiaTheme="minorEastAsia"/>
                <w:i/>
                <w:iCs/>
                <w:sz w:val="18"/>
                <w:szCs w:val="18"/>
                <w:lang w:val="en-US"/>
              </w:rPr>
              <w:t>et al.</w:t>
            </w:r>
            <w:r w:rsidRPr="4DCF16DC">
              <w:rPr>
                <w:rFonts w:eastAsiaTheme="minorEastAsia"/>
                <w:sz w:val="18"/>
                <w:szCs w:val="18"/>
                <w:lang w:val="en-US"/>
              </w:rPr>
              <w:t xml:space="preserve"> (2024). Clusters of 24-hour movement behavior and diet and their relationship with health indicators among youth: A systematic review. </w:t>
            </w:r>
            <w:r w:rsidRPr="4DCF16DC">
              <w:rPr>
                <w:rFonts w:eastAsiaTheme="minorEastAsia"/>
                <w:i/>
                <w:iCs/>
                <w:sz w:val="18"/>
                <w:szCs w:val="18"/>
                <w:lang w:val="en-US"/>
              </w:rPr>
              <w:t>BMC Public Health, 24</w:t>
            </w:r>
            <w:r w:rsidRPr="4DCF16DC">
              <w:rPr>
                <w:rFonts w:eastAsiaTheme="minorEastAsia"/>
                <w:sz w:val="18"/>
                <w:szCs w:val="18"/>
                <w:lang w:val="en-US"/>
              </w:rPr>
              <w:t xml:space="preserve">, Article 1080. </w:t>
            </w:r>
            <w:hyperlink r:id="rId20">
              <w:r w:rsidRPr="4DCF16DC">
                <w:rPr>
                  <w:rStyle w:val="Hiperveza"/>
                  <w:rFonts w:eastAsiaTheme="minorEastAsia"/>
                  <w:sz w:val="18"/>
                  <w:szCs w:val="18"/>
                  <w:lang w:val="en-US"/>
                </w:rPr>
                <w:t>https://doi.org/10.1186/s12889-024-18364-6</w:t>
              </w:r>
            </w:hyperlink>
          </w:p>
          <w:p w14:paraId="6DFD821A" w14:textId="45F66F55" w:rsidR="0077472D" w:rsidRPr="005365AA" w:rsidRDefault="0077472D" w:rsidP="4DCF16DC">
            <w:pPr>
              <w:spacing w:after="0" w:line="240" w:lineRule="auto"/>
              <w:textAlignment w:val="baseline"/>
              <w:rPr>
                <w:rFonts w:eastAsiaTheme="minorEastAsia"/>
                <w:b/>
                <w:bCs/>
                <w:sz w:val="18"/>
                <w:szCs w:val="18"/>
                <w:lang w:eastAsia="hr-HR"/>
              </w:rPr>
            </w:pPr>
          </w:p>
        </w:tc>
      </w:tr>
      <w:tr w:rsidR="0077472D" w:rsidRPr="005365AA" w14:paraId="59BE584E" w14:textId="77777777" w:rsidTr="4DCF16DC">
        <w:trPr>
          <w:trHeight w:val="300"/>
        </w:trPr>
        <w:tc>
          <w:tcPr>
            <w:tcW w:w="3180" w:type="dxa"/>
            <w:hideMark/>
          </w:tcPr>
          <w:p w14:paraId="73C506A3"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5882" w:type="dxa"/>
          </w:tcPr>
          <w:p w14:paraId="689C92F3" w14:textId="58C7E971" w:rsidR="0077472D" w:rsidRPr="005365AA" w:rsidRDefault="3843FDF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https://doi.org/10.1186/s12889-024-18364-6</w:t>
            </w:r>
          </w:p>
        </w:tc>
      </w:tr>
      <w:tr w:rsidR="0077472D" w:rsidRPr="005365AA" w14:paraId="4F30CDD6" w14:textId="77777777" w:rsidTr="4DCF16DC">
        <w:trPr>
          <w:trHeight w:val="300"/>
        </w:trPr>
        <w:tc>
          <w:tcPr>
            <w:tcW w:w="3180" w:type="dxa"/>
            <w:hideMark/>
          </w:tcPr>
          <w:p w14:paraId="764E94F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5882" w:type="dxa"/>
          </w:tcPr>
          <w:p w14:paraId="3FB6498F" w14:textId="7C5A223F" w:rsidR="0077472D" w:rsidRPr="005365AA" w:rsidRDefault="0EBE0DE4"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Zdravlje adolescenata</w:t>
            </w:r>
            <w:r w:rsidR="67CF08FA" w:rsidRPr="4DCF16DC">
              <w:rPr>
                <w:rFonts w:eastAsiaTheme="minorEastAsia"/>
                <w:sz w:val="18"/>
                <w:szCs w:val="18"/>
                <w:lang w:eastAsia="hr-HR"/>
              </w:rPr>
              <w:t xml:space="preserve"> i djece</w:t>
            </w:r>
          </w:p>
        </w:tc>
      </w:tr>
      <w:tr w:rsidR="0077472D" w:rsidRPr="005365AA" w14:paraId="72C96E62" w14:textId="77777777" w:rsidTr="4DCF16DC">
        <w:trPr>
          <w:trHeight w:val="300"/>
        </w:trPr>
        <w:tc>
          <w:tcPr>
            <w:tcW w:w="3180" w:type="dxa"/>
          </w:tcPr>
          <w:p w14:paraId="1E55713F"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5882" w:type="dxa"/>
          </w:tcPr>
          <w:p w14:paraId="4EE643F2" w14:textId="5767F067" w:rsidR="0077472D" w:rsidRPr="005365AA" w:rsidRDefault="0EF73DC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Maja Lagator</w:t>
            </w:r>
          </w:p>
        </w:tc>
      </w:tr>
      <w:tr w:rsidR="0077472D" w:rsidRPr="005365AA" w14:paraId="153028AF" w14:textId="77777777" w:rsidTr="4DCF16DC">
        <w:trPr>
          <w:trHeight w:val="300"/>
        </w:trPr>
        <w:tc>
          <w:tcPr>
            <w:tcW w:w="3180" w:type="dxa"/>
            <w:hideMark/>
          </w:tcPr>
          <w:p w14:paraId="349C8CC7"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74D18CC6"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26128A0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30452ECB"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920E0D5"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5882" w:type="dxa"/>
          </w:tcPr>
          <w:p w14:paraId="2D5E4956" w14:textId="596DD1B3" w:rsidR="0077472D" w:rsidRPr="005365AA" w:rsidRDefault="727158A4"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3</w:t>
            </w:r>
          </w:p>
        </w:tc>
      </w:tr>
      <w:tr w:rsidR="0077472D" w:rsidRPr="005365AA" w14:paraId="5579427E" w14:textId="77777777" w:rsidTr="4DCF16DC">
        <w:trPr>
          <w:trHeight w:val="300"/>
        </w:trPr>
        <w:tc>
          <w:tcPr>
            <w:tcW w:w="3180" w:type="dxa"/>
            <w:hideMark/>
          </w:tcPr>
          <w:p w14:paraId="73957D24"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48EEB76D"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5882" w:type="dxa"/>
          </w:tcPr>
          <w:p w14:paraId="08FFB96D" w14:textId="0FA3CD9E" w:rsidR="0077472D" w:rsidRPr="005365AA" w:rsidRDefault="6E551D9A"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Movement-related behaviors (physical activity [PA], sedentary behavior [SB], and sleep) and diet interact with each other and play important roles in health indicators in youth. This systematic review aimed to investigate how PA, SB, sleep, and diet cluster in youth by biological sex; and to examine which cluster are associated with health indicators. This study was registered in PROSPERO (number: CRD42018094826). Five electronic databases were assessed. Eligibility criteria allowed studies that included youth (aged 19 years and younger), and only the four behaviors {PA, SB, sleep, and diet (ultra-processed foods [UPF]; fruits and vegetables [FV])} analyzed by applying data-based cluster procedures. From 12,719 articles screened; 23 were included. Of these, four investigated children, and ten identified clusters by biological sex. Sixty-six mixed cluster were identified including, 34 in mixed-sex samples, 10 in boys and 11 in girls. The most frequent clusters in mixed-sex samples were "High SB UPF Low Sleep", "Low PA High SB Satisfactory Sleep", and "High PA". The main difference in profiles according to sex was that girls' clusters were characterized by high sleep duration, whereas boys' clusters by high PA. There were a few associations found between cluster types and health indicators, highlighting that youth assigned to cluster types with low PA exhibited higher adiposity. In conclusion, the youth presented a range of clusters of behaviors, typically exhibiting at least one unhealthy behavior. Similar patterns were observed in both sexes with the biggest difference in time of sleep for girls and PA for boys. These findings underscore the importance of intervention strategies targeting multiple behaviors simultaneously to enhance health risk profiles and indicators in children and adolescents.</w:t>
            </w:r>
          </w:p>
        </w:tc>
      </w:tr>
      <w:tr w:rsidR="0077472D" w:rsidRPr="005365AA" w14:paraId="0A49C5F0" w14:textId="77777777" w:rsidTr="4DCF16DC">
        <w:trPr>
          <w:trHeight w:val="300"/>
        </w:trPr>
        <w:tc>
          <w:tcPr>
            <w:tcW w:w="3180" w:type="dxa"/>
            <w:hideMark/>
          </w:tcPr>
          <w:p w14:paraId="27F8C8F2"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5882" w:type="dxa"/>
          </w:tcPr>
          <w:p w14:paraId="0E41B858" w14:textId="44A73EA9" w:rsidR="0077472D" w:rsidRPr="005365AA" w:rsidRDefault="3DDAD15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Adolescent health; Child Health; Clustering; Diet; Food and Nutrition; Exercise; Sleep</w:t>
            </w:r>
          </w:p>
        </w:tc>
      </w:tr>
      <w:tr w:rsidR="0077472D" w:rsidRPr="005365AA" w14:paraId="48C0D137" w14:textId="77777777" w:rsidTr="4DCF16DC">
        <w:trPr>
          <w:trHeight w:val="300"/>
        </w:trPr>
        <w:tc>
          <w:tcPr>
            <w:tcW w:w="3180" w:type="dxa"/>
            <w:hideMark/>
          </w:tcPr>
          <w:p w14:paraId="4B3B43FB"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5882" w:type="dxa"/>
          </w:tcPr>
          <w:p w14:paraId="6934107A" w14:textId="3F9F0AA1" w:rsidR="0077472D" w:rsidRPr="005365AA" w:rsidRDefault="6896B372" w:rsidP="4DCF16DC">
            <w:pPr>
              <w:spacing w:after="0" w:line="240" w:lineRule="auto"/>
              <w:rPr>
                <w:rFonts w:eastAsiaTheme="minorEastAsia"/>
                <w:color w:val="303030"/>
                <w:sz w:val="18"/>
                <w:szCs w:val="18"/>
              </w:rPr>
            </w:pPr>
            <w:r w:rsidRPr="4DCF16DC">
              <w:rPr>
                <w:rFonts w:eastAsiaTheme="minorEastAsia"/>
                <w:color w:val="303030"/>
                <w:sz w:val="18"/>
                <w:szCs w:val="18"/>
              </w:rPr>
              <w:t xml:space="preserve">Sustavni pregled koji istražuje kako se ponašanja povezana s kretanjem i prehranom grupiraju kod mladih. Ovaj rad predstavlja dio šireg globalnog projekta koji ispituje klastere ponašanja kod djece i adolescenata do 19 godina starosti. </w:t>
            </w:r>
          </w:p>
          <w:p w14:paraId="6336444B" w14:textId="225B625D" w:rsidR="0077472D" w:rsidRPr="005365AA" w:rsidRDefault="1C1879D5" w:rsidP="4DCF16DC">
            <w:pPr>
              <w:spacing w:after="0" w:line="240" w:lineRule="auto"/>
              <w:rPr>
                <w:rFonts w:eastAsiaTheme="minorEastAsia"/>
                <w:color w:val="303030"/>
                <w:sz w:val="18"/>
                <w:szCs w:val="18"/>
              </w:rPr>
            </w:pPr>
            <w:r w:rsidRPr="4DCF16DC">
              <w:rPr>
                <w:rFonts w:eastAsiaTheme="minorEastAsia"/>
                <w:color w:val="303030"/>
                <w:sz w:val="18"/>
                <w:szCs w:val="18"/>
              </w:rPr>
              <w:t>Cilj istraživanja: Analizirati istovremeno četiri ključna ponašanja povezana s energetskom ravnotežom (EBRB): tjelesnu aktivnost (PA), sjedilačko ponašanje (SB), san i prehranu (uključujući voće, povrće i ultra-prerađenu hranu).</w:t>
            </w:r>
          </w:p>
          <w:p w14:paraId="56B0E1AE" w14:textId="5D7DBF34" w:rsidR="0077472D" w:rsidRPr="005365AA" w:rsidRDefault="1C1879D5" w:rsidP="4DCF16DC">
            <w:pPr>
              <w:spacing w:after="0" w:line="240" w:lineRule="auto"/>
              <w:textAlignment w:val="baseline"/>
              <w:rPr>
                <w:rFonts w:eastAsiaTheme="minorEastAsia"/>
                <w:color w:val="303030"/>
                <w:sz w:val="18"/>
                <w:szCs w:val="18"/>
              </w:rPr>
            </w:pPr>
            <w:r w:rsidRPr="4DCF16DC">
              <w:rPr>
                <w:rFonts w:eastAsiaTheme="minorEastAsia"/>
                <w:color w:val="303030"/>
                <w:sz w:val="18"/>
                <w:szCs w:val="18"/>
              </w:rPr>
              <w:t>Metodologija: Autori su proveli sustavnu pretragu pet elektroničkih baza podataka, pri čemu su od 12.719 pregledanih naslova u konačnu analizu uključili 23 studije</w:t>
            </w:r>
          </w:p>
          <w:p w14:paraId="3BABCC13" w14:textId="72808DCF" w:rsidR="0077472D" w:rsidRPr="005365AA" w:rsidRDefault="0077472D" w:rsidP="4DCF16DC">
            <w:pPr>
              <w:spacing w:after="0" w:line="240" w:lineRule="auto"/>
              <w:rPr>
                <w:rFonts w:eastAsiaTheme="minorEastAsia"/>
                <w:color w:val="303030"/>
                <w:sz w:val="18"/>
                <w:szCs w:val="18"/>
              </w:rPr>
            </w:pPr>
          </w:p>
        </w:tc>
      </w:tr>
      <w:tr w:rsidR="0077472D" w:rsidRPr="005365AA" w14:paraId="7A674D10" w14:textId="77777777" w:rsidTr="4DCF16DC">
        <w:trPr>
          <w:trHeight w:val="300"/>
        </w:trPr>
        <w:tc>
          <w:tcPr>
            <w:tcW w:w="3180" w:type="dxa"/>
            <w:hideMark/>
          </w:tcPr>
          <w:p w14:paraId="2826FC6E"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7AAECC71"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5882" w:type="dxa"/>
          </w:tcPr>
          <w:p w14:paraId="1CC4D531" w14:textId="7A728274"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Spolne razlike u obrascima: Najveća razlika između spolova je u tome što su klasteri kod djevojčica primarno karakterizirani dugim trajanjem sna, dok su klasteri kod dječaka obilježeni visokom razinom tjelesne aktivnosti.</w:t>
            </w:r>
          </w:p>
          <w:p w14:paraId="4888B52F" w14:textId="32E6518B"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Sveprisutnost nezdravih ponašanja: Mladi rijetko pokazuju isključivo zdrave obrasce; većina njih pripada mješovitim profilima koji obično uključuju barem jedno nezdravo ponašanje.</w:t>
            </w:r>
          </w:p>
          <w:p w14:paraId="5AB9FDB9" w14:textId="3DC2F4C5"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Povezanost s pretilošću: Utvrđeno je da su klasteri s niskom razinom tjelesne aktivnosti (često u kombinaciji s visokim sjedilačkim ponašanjem i konzumacijom ultra-prerađene hrane) dosljedno povezani s većom adipoznošću, odnosno povećanim rizikom od prekomjerne težine i pretilosti.</w:t>
            </w:r>
          </w:p>
          <w:p w14:paraId="1668C11C" w14:textId="636FED24"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Ostali zdravstveni indikatori: Iako su dokazi rjeđi, nezdrave kombinacije ponašanja povezane su s većom inzulinskom rezistencijom i povišenim krvnim tlakom, dok su zdraviji klasteri (poput onih s puno voća i povrća te malo sjedilačkog vremena) povezani s boljom kvalitetom života.</w:t>
            </w:r>
          </w:p>
          <w:p w14:paraId="7906CED4" w14:textId="3CF6B8E0"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Međusobno osnaživanje ponašanja: Studija potvrđuje da se različita ponašanja međusobno moderiraju; primjerice, pozitivni učinci konzumacije voća i povrća mogu biti kompromitirani kratkim trajanjem sna ili dugim sjedilačkim vremenom.</w:t>
            </w:r>
          </w:p>
          <w:p w14:paraId="32DB716F" w14:textId="061131F1" w:rsidR="0077472D" w:rsidRPr="005365AA" w:rsidRDefault="452FD2D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Autori zaključuju da je za poboljšanje zdravlja djece i adolescenata nužno provoditi intervencije koje istovremeno ciljaju na više rizičnih ponašanja i koje su prilagođene specifičnim profilima dječaka i djevojčica</w:t>
            </w:r>
          </w:p>
          <w:p w14:paraId="1EE60C01" w14:textId="09FD5C53" w:rsidR="0077472D" w:rsidRPr="005365AA" w:rsidRDefault="0077472D" w:rsidP="4DCF16DC">
            <w:pPr>
              <w:spacing w:after="0" w:line="240" w:lineRule="auto"/>
              <w:textAlignment w:val="baseline"/>
              <w:rPr>
                <w:rFonts w:eastAsiaTheme="minorEastAsia"/>
                <w:sz w:val="18"/>
                <w:szCs w:val="18"/>
                <w:lang w:eastAsia="hr-HR"/>
              </w:rPr>
            </w:pPr>
          </w:p>
        </w:tc>
      </w:tr>
      <w:tr w:rsidR="0077472D" w:rsidRPr="005365AA" w14:paraId="6A65909D" w14:textId="77777777" w:rsidTr="4DCF16DC">
        <w:trPr>
          <w:trHeight w:val="300"/>
        </w:trPr>
        <w:tc>
          <w:tcPr>
            <w:tcW w:w="3180" w:type="dxa"/>
            <w:hideMark/>
          </w:tcPr>
          <w:p w14:paraId="680462AF"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0B4AC7C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5882" w:type="dxa"/>
          </w:tcPr>
          <w:p w14:paraId="4EDF5FA8" w14:textId="36266756" w:rsidR="0077472D" w:rsidRPr="005365AA" w:rsidRDefault="0038CA28"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Umjesto da promatramo samo pojedinačne faktore (npr. samo tjelesnu aktivnost), ovaj pregled pokazuje kako se više ponašanja kombinira u obrasce koji mogu zajedno utjecati na tjelesno i mentalno zdravlje djece i adolescenata.</w:t>
            </w:r>
          </w:p>
        </w:tc>
      </w:tr>
      <w:tr w:rsidR="0077472D" w:rsidRPr="005365AA" w14:paraId="7D805733" w14:textId="77777777" w:rsidTr="4DCF16DC">
        <w:trPr>
          <w:trHeight w:val="300"/>
        </w:trPr>
        <w:tc>
          <w:tcPr>
            <w:tcW w:w="3180" w:type="dxa"/>
            <w:hideMark/>
          </w:tcPr>
          <w:p w14:paraId="5569B60B"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5882" w:type="dxa"/>
          </w:tcPr>
          <w:p w14:paraId="5379AA1F" w14:textId="77777777" w:rsidR="0077472D" w:rsidRPr="005365AA" w:rsidRDefault="0077472D" w:rsidP="4DCF16DC">
            <w:pPr>
              <w:spacing w:after="0" w:line="240" w:lineRule="auto"/>
              <w:textAlignment w:val="baseline"/>
              <w:rPr>
                <w:rFonts w:eastAsiaTheme="minorEastAsia"/>
                <w:sz w:val="18"/>
                <w:szCs w:val="18"/>
                <w:lang w:eastAsia="hr-HR"/>
              </w:rPr>
            </w:pPr>
          </w:p>
        </w:tc>
      </w:tr>
    </w:tbl>
    <w:p w14:paraId="41CFCCA9" w14:textId="3F9E4DF7" w:rsidR="0077472D" w:rsidRDefault="0077472D" w:rsidP="0077472D"/>
    <w:p w14:paraId="3721E21C" w14:textId="29EC1CCC" w:rsidR="0077472D" w:rsidRDefault="0077472D" w:rsidP="0077472D"/>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5"/>
        <w:gridCol w:w="6577"/>
      </w:tblGrid>
      <w:tr w:rsidR="0077472D" w:rsidRPr="005365AA" w14:paraId="380311C3" w14:textId="77777777" w:rsidTr="4DCF16DC">
        <w:trPr>
          <w:trHeight w:val="300"/>
        </w:trPr>
        <w:tc>
          <w:tcPr>
            <w:tcW w:w="3315" w:type="dxa"/>
            <w:hideMark/>
          </w:tcPr>
          <w:p w14:paraId="07B6BBAE" w14:textId="41F72C95" w:rsidR="0077472D" w:rsidRPr="005365AA" w:rsidRDefault="33D10D42"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59ADF41F" w:rsidRPr="4DCF16DC">
              <w:rPr>
                <w:rFonts w:eastAsiaTheme="minorEastAsia"/>
                <w:b/>
                <w:bCs/>
                <w:color w:val="000000" w:themeColor="text1"/>
                <w:sz w:val="18"/>
                <w:szCs w:val="18"/>
                <w:lang w:eastAsia="hr-HR"/>
              </w:rPr>
              <w:t> </w:t>
            </w:r>
          </w:p>
        </w:tc>
        <w:tc>
          <w:tcPr>
            <w:tcW w:w="9630" w:type="dxa"/>
          </w:tcPr>
          <w:p w14:paraId="084AC8B9" w14:textId="17711ABB" w:rsidR="0077472D" w:rsidRPr="005365AA" w:rsidRDefault="1EE97006" w:rsidP="4DCF16DC">
            <w:pPr>
              <w:spacing w:after="0" w:line="240" w:lineRule="auto"/>
              <w:textAlignment w:val="baseline"/>
              <w:rPr>
                <w:rFonts w:eastAsiaTheme="minorEastAsia"/>
                <w:sz w:val="18"/>
                <w:szCs w:val="18"/>
              </w:rPr>
            </w:pPr>
            <w:r w:rsidRPr="4DCF16DC">
              <w:rPr>
                <w:rFonts w:eastAsiaTheme="minorEastAsia"/>
                <w:sz w:val="18"/>
                <w:szCs w:val="18"/>
              </w:rPr>
              <w:t xml:space="preserve">Zhao, H. H., Wu, N., Haapala, E. A., &amp; Gao, Y. (2024). Association between meeting 24-h movement guidelines and health in children and adolescents aged 5–17 years: A systematic review and meta-analysis. </w:t>
            </w:r>
            <w:r w:rsidRPr="4DCF16DC">
              <w:rPr>
                <w:rFonts w:eastAsiaTheme="minorEastAsia"/>
                <w:i/>
                <w:iCs/>
                <w:sz w:val="18"/>
                <w:szCs w:val="18"/>
              </w:rPr>
              <w:t>Frontiers in Public Health, 12</w:t>
            </w:r>
            <w:r w:rsidRPr="4DCF16DC">
              <w:rPr>
                <w:rFonts w:eastAsiaTheme="minorEastAsia"/>
                <w:sz w:val="18"/>
                <w:szCs w:val="18"/>
              </w:rPr>
              <w:t>, Article 1351972. https://doi.org/10.3389/fpubh.2024.1351972</w:t>
            </w:r>
          </w:p>
        </w:tc>
      </w:tr>
      <w:tr w:rsidR="0077472D" w:rsidRPr="005365AA" w14:paraId="1602231D" w14:textId="77777777" w:rsidTr="4DCF16DC">
        <w:trPr>
          <w:trHeight w:val="300"/>
        </w:trPr>
        <w:tc>
          <w:tcPr>
            <w:tcW w:w="3315" w:type="dxa"/>
            <w:hideMark/>
          </w:tcPr>
          <w:p w14:paraId="68CD344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9630" w:type="dxa"/>
          </w:tcPr>
          <w:p w14:paraId="235BDB8B" w14:textId="4C56593A" w:rsidR="0077472D" w:rsidRPr="005365AA" w:rsidRDefault="6D92DAD3"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https://doi.org/10.3389/fpubh.2024.1351972</w:t>
            </w:r>
          </w:p>
        </w:tc>
      </w:tr>
      <w:tr w:rsidR="0077472D" w:rsidRPr="005365AA" w14:paraId="17AFF764" w14:textId="77777777" w:rsidTr="4DCF16DC">
        <w:trPr>
          <w:trHeight w:val="300"/>
        </w:trPr>
        <w:tc>
          <w:tcPr>
            <w:tcW w:w="3315" w:type="dxa"/>
            <w:hideMark/>
          </w:tcPr>
          <w:p w14:paraId="6B09CB2D"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9630" w:type="dxa"/>
          </w:tcPr>
          <w:p w14:paraId="71C46DAA" w14:textId="1F5DD7E7" w:rsidR="0077472D" w:rsidRPr="005365AA" w:rsidRDefault="1BBCBA7A"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Tjelesna aktivnost i zdravlje djece i adolescenata</w:t>
            </w:r>
          </w:p>
        </w:tc>
      </w:tr>
      <w:tr w:rsidR="0077472D" w:rsidRPr="005365AA" w14:paraId="34C2E9AE" w14:textId="77777777" w:rsidTr="4DCF16DC">
        <w:trPr>
          <w:trHeight w:val="300"/>
        </w:trPr>
        <w:tc>
          <w:tcPr>
            <w:tcW w:w="3315" w:type="dxa"/>
          </w:tcPr>
          <w:p w14:paraId="54B268B4" w14:textId="77777777" w:rsidR="0077472D" w:rsidRPr="005365AA" w:rsidRDefault="0077472D" w:rsidP="4DCF16DC">
            <w:pPr>
              <w:spacing w:after="0" w:line="240" w:lineRule="auto"/>
              <w:textAlignment w:val="baseline"/>
              <w:rPr>
                <w:rFonts w:eastAsiaTheme="minorEastAsia"/>
                <w:b/>
                <w:bCs/>
                <w:color w:val="000000"/>
                <w:sz w:val="18"/>
                <w:szCs w:val="18"/>
                <w:lang w:val="en-GB" w:eastAsia="hr-HR"/>
              </w:rPr>
            </w:pPr>
            <w:r w:rsidRPr="4DCF16DC">
              <w:rPr>
                <w:rFonts w:eastAsiaTheme="minorEastAsia"/>
                <w:b/>
                <w:bCs/>
                <w:color w:val="000000" w:themeColor="text1"/>
                <w:sz w:val="18"/>
                <w:szCs w:val="18"/>
                <w:lang w:val="en-GB" w:eastAsia="hr-HR"/>
              </w:rPr>
              <w:t>Pripremila/pripremio</w:t>
            </w:r>
          </w:p>
        </w:tc>
        <w:tc>
          <w:tcPr>
            <w:tcW w:w="9630" w:type="dxa"/>
          </w:tcPr>
          <w:p w14:paraId="5B67B621" w14:textId="1BDB29C3" w:rsidR="0077472D" w:rsidRPr="005365AA" w:rsidRDefault="3A3414AB"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Maja Lagator</w:t>
            </w:r>
          </w:p>
        </w:tc>
      </w:tr>
      <w:tr w:rsidR="0077472D" w:rsidRPr="005365AA" w14:paraId="1BF66DF4" w14:textId="77777777" w:rsidTr="4DCF16DC">
        <w:trPr>
          <w:trHeight w:val="300"/>
        </w:trPr>
        <w:tc>
          <w:tcPr>
            <w:tcW w:w="3315" w:type="dxa"/>
            <w:hideMark/>
          </w:tcPr>
          <w:p w14:paraId="348B7BF2"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661ED48B"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7CCCC56"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16C7D20A"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0AD19876" w14:textId="77777777" w:rsidR="0077472D" w:rsidRPr="005365AA" w:rsidRDefault="0077472D" w:rsidP="4DCF16DC">
            <w:pPr>
              <w:spacing w:after="0" w:line="240" w:lineRule="exact"/>
              <w:textAlignment w:val="baseline"/>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9630" w:type="dxa"/>
          </w:tcPr>
          <w:p w14:paraId="25D29DA4" w14:textId="3017AAE9" w:rsidR="0077472D" w:rsidRPr="005365AA" w:rsidRDefault="2A1C3CA0" w:rsidP="4DCF16DC">
            <w:pPr>
              <w:spacing w:after="0" w:line="240" w:lineRule="exact"/>
              <w:textAlignment w:val="baseline"/>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0077472D" w:rsidRPr="005365AA" w14:paraId="3C10F85B" w14:textId="77777777" w:rsidTr="4DCF16DC">
        <w:trPr>
          <w:trHeight w:val="300"/>
        </w:trPr>
        <w:tc>
          <w:tcPr>
            <w:tcW w:w="3315" w:type="dxa"/>
            <w:hideMark/>
          </w:tcPr>
          <w:p w14:paraId="57E4E728"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Sažetak (kopija)</w:t>
            </w:r>
          </w:p>
          <w:p w14:paraId="0384C83F"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1802BCC8" w14:textId="31CD43DC" w:rsidR="0077472D" w:rsidRPr="005365AA" w:rsidRDefault="7E5B1F3F"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Twenty-four-hour movement behaviors have significant implications for physical and mental health throughout one's lifespan. Consistent with movement behaviors, several countries have formulated and published 24-h movement guidelines. This review summarized the studies related to 24-h movement guidelines among children and adolescents from six databases (MEDLINE, EMBASE, PubMed, Web of Science, CINAHL, and SPORTDiscus). In a total of 61 studies that discussed compliance with 24-h movement guidelines, the overall adherence rate was very low (7.1%), with boys exceeding girls, children surpassing adolescents, and regional differences. A total of 39 studies examined the associations between 24-h movement guidelines and health indicators. Findings indicated that meeting all three guidelines was favorably associated with adiposity, cardiometabolic health, mental and social health, physical fitness, health-related quality of life, academic achievement, cognitive development, perceived health, dietary patterns, and myopia. Future research should utilize longitudinal and experimental designs to enhance our understanding of the associations between 24-h movement guidelines and health indicators, thereby aiding the formulation and refinement of such guidelines.</w:t>
            </w:r>
          </w:p>
        </w:tc>
      </w:tr>
      <w:tr w:rsidR="0077472D" w:rsidRPr="005365AA" w14:paraId="6A4794DF" w14:textId="77777777" w:rsidTr="4DCF16DC">
        <w:trPr>
          <w:trHeight w:val="300"/>
        </w:trPr>
        <w:tc>
          <w:tcPr>
            <w:tcW w:w="3315" w:type="dxa"/>
            <w:hideMark/>
          </w:tcPr>
          <w:p w14:paraId="7214A1A2"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9630" w:type="dxa"/>
          </w:tcPr>
          <w:p w14:paraId="1C89B73E" w14:textId="3808E5C0" w:rsidR="0077472D" w:rsidRPr="005365AA" w:rsidRDefault="23E1E662"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physical activity; screen time; sleep; 24-h movement guidelines; health indicators; children and adolescents</w:t>
            </w:r>
          </w:p>
        </w:tc>
      </w:tr>
      <w:tr w:rsidR="0077472D" w:rsidRPr="005365AA" w14:paraId="45FF2407" w14:textId="77777777" w:rsidTr="4DCF16DC">
        <w:trPr>
          <w:trHeight w:val="300"/>
        </w:trPr>
        <w:tc>
          <w:tcPr>
            <w:tcW w:w="3315" w:type="dxa"/>
            <w:hideMark/>
          </w:tcPr>
          <w:p w14:paraId="57271690" w14:textId="77777777" w:rsidR="0077472D" w:rsidRPr="00FD688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sz w:val="18"/>
                <w:szCs w:val="18"/>
                <w:lang w:eastAsia="hr-HR"/>
              </w:rPr>
              <w:t>Kratki opis</w:t>
            </w:r>
          </w:p>
        </w:tc>
        <w:tc>
          <w:tcPr>
            <w:tcW w:w="9630" w:type="dxa"/>
          </w:tcPr>
          <w:p w14:paraId="11996D34" w14:textId="50E93836" w:rsidR="0077472D" w:rsidRPr="005365AA" w:rsidRDefault="03B62E53"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Ovaj sustavni pregled istražuj</w:t>
            </w:r>
            <w:r w:rsidR="64B353C4" w:rsidRPr="4DCF16DC">
              <w:rPr>
                <w:rFonts w:eastAsiaTheme="minorEastAsia"/>
                <w:sz w:val="18"/>
                <w:szCs w:val="18"/>
                <w:lang w:eastAsia="hr-HR"/>
              </w:rPr>
              <w:t>e</w:t>
            </w:r>
            <w:r w:rsidRPr="4DCF16DC">
              <w:rPr>
                <w:rFonts w:eastAsiaTheme="minorEastAsia"/>
                <w:sz w:val="18"/>
                <w:szCs w:val="18"/>
                <w:lang w:eastAsia="hr-HR"/>
              </w:rPr>
              <w:t xml:space="preserve"> povezanost između ispunjavanja globalnih smjernica za 24-satno kretanje i različitih zdravstvenih pokazatelja kod djece i adolescenata u dobi od 5 do 17 godina. Smjernice uključuju tri ključne preporuke: najmanje 60 minuta umjerene do intenzivne tjelesne aktivnosti (MVPA) dnevno, ograničavanje rekreacijskog vremena pred ekranom na najviše 2 sata te adekvatno trajanje sna (9–11 sati za djecu od 5 do 13 godina, odnosno 8–10 sati za one od 14 do 18 godina).</w:t>
            </w:r>
          </w:p>
        </w:tc>
      </w:tr>
      <w:tr w:rsidR="0077472D" w:rsidRPr="005365AA" w14:paraId="32EB61CD" w14:textId="77777777" w:rsidTr="4DCF16DC">
        <w:trPr>
          <w:trHeight w:val="300"/>
        </w:trPr>
        <w:tc>
          <w:tcPr>
            <w:tcW w:w="3315" w:type="dxa"/>
            <w:hideMark/>
          </w:tcPr>
          <w:p w14:paraId="68160CF6"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30FC3334"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11188595" w14:textId="6AB8058E"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1. Niska razina pridržavanja smjernica</w:t>
            </w:r>
          </w:p>
          <w:p w14:paraId="41BBC032" w14:textId="79060298"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Analiza 61 studije pokazala je da je ukupna stopa pridržavanja svih triju smjernica alarmantno niska i iznosi svega 7,6%.</w:t>
            </w:r>
          </w:p>
          <w:p w14:paraId="63BDB549" w14:textId="36BB5C33"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Dječaci se češće pridržavaju smjernica nego djevojčice, a djeca češće nego adolescenti.</w:t>
            </w:r>
          </w:p>
          <w:p w14:paraId="2893D90D" w14:textId="128C52FD"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Zabilježene su značajne regionalne razlike: najviša stopa adherencije utvrđena je u Europi (14,3%), dok je najniža u Južnoj Americi (3,2%).</w:t>
            </w:r>
          </w:p>
          <w:p w14:paraId="384093CC" w14:textId="35D03C41"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2. Povezanost sa zdravstvenim indikatorima</w:t>
            </w:r>
          </w:p>
          <w:p w14:paraId="5A83BB4D" w14:textId="380633E7"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Ispunjavanje svih triju smjernica (opća kombinacija) ili njihovih specifičnih kombinacija pokazalo je dosljedno povoljne učinke na niz zdravstvenih ishoda:</w:t>
            </w:r>
          </w:p>
          <w:p w14:paraId="52B2798E" w14:textId="164F60E3"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Adipoznost: Pridržavanje smjernica povezano je s nižim indeksom tjelesne mase (BMI/BMIz), manjim opsegom struka i nižim postotkom tjelesne masti.</w:t>
            </w:r>
          </w:p>
          <w:p w14:paraId="19426636" w14:textId="55CE8E24"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Kardiometaboličko zdravlje: Pozitivno utječe na razinu inzulina, triglicerida i krvni tlak.</w:t>
            </w:r>
          </w:p>
          <w:p w14:paraId="087D6FE9" w14:textId="0A92858C"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Mentalno i socijalno zdravlje: Povezano je s rjeđim emocionalnim problemima, nižom razinom stresa, tjeskobe i depresivnih simptoma, te manjim rizikom od suicidalnih ideja.</w:t>
            </w:r>
          </w:p>
          <w:p w14:paraId="708227ED" w14:textId="67C41DE7"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Tjelesni fitnes: Ispunjavanje preporuka, a posebno one o tjelesnoj aktivnosti, korelira s boljom kardiorespiratornom izdržljivošću, mišićnom snagom i agilnošću.</w:t>
            </w:r>
          </w:p>
          <w:p w14:paraId="08FEA8E7" w14:textId="18DA2215"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Kognitivni i akademski razvoj: Povezano je s boljim kognitivnim razvojem, višim akademskim postignućima i boljom kvalitetom života povezanom sa zdravljem.</w:t>
            </w:r>
          </w:p>
          <w:p w14:paraId="07837EFD" w14:textId="79288AE9" w:rsidR="0077472D" w:rsidRPr="005365AA" w:rsidRDefault="0F309C5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 Ostali nalazi: Utvrđena je povezanost s boljim obrascima prehrane, boljim percipiranim zdravljem i smanjenim rizikom od kratkovidnosti (miopije).</w:t>
            </w:r>
          </w:p>
          <w:p w14:paraId="564512B4" w14:textId="3B0EBE58" w:rsidR="0077472D" w:rsidRPr="005365AA" w:rsidRDefault="0077472D" w:rsidP="4DCF16DC">
            <w:pPr>
              <w:spacing w:after="0" w:line="240" w:lineRule="auto"/>
              <w:textAlignment w:val="baseline"/>
              <w:rPr>
                <w:rFonts w:eastAsiaTheme="minorEastAsia"/>
                <w:sz w:val="18"/>
                <w:szCs w:val="18"/>
                <w:lang w:eastAsia="hr-HR"/>
              </w:rPr>
            </w:pPr>
          </w:p>
        </w:tc>
      </w:tr>
      <w:tr w:rsidR="0077472D" w:rsidRPr="005365AA" w14:paraId="46317A60" w14:textId="77777777" w:rsidTr="4DCF16DC">
        <w:trPr>
          <w:trHeight w:val="300"/>
        </w:trPr>
        <w:tc>
          <w:tcPr>
            <w:tcW w:w="3315" w:type="dxa"/>
            <w:hideMark/>
          </w:tcPr>
          <w:p w14:paraId="0B13CA3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11418A88"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9630" w:type="dxa"/>
          </w:tcPr>
          <w:p w14:paraId="624DD593" w14:textId="4ADCAC65" w:rsidR="0077472D" w:rsidRPr="005365AA" w:rsidRDefault="62FD241C"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Pokazuje da kombinacija preporučene dnevne tjelesne aktivnosti, adekvatnog sna i ograničenog vremena provedenog u sjedećim aktivnostima (24-satne smjernice) pozitivno utječe ne samo na tjelesno zdravlje djece i adolescenata, nego i na njihove mentalne i socijalne aspekte zdravlja.</w:t>
            </w:r>
          </w:p>
          <w:p w14:paraId="1A6C4220" w14:textId="34E51917" w:rsidR="0077472D" w:rsidRPr="005365AA" w:rsidRDefault="4BB3573E" w:rsidP="4DCF16DC">
            <w:pPr>
              <w:spacing w:after="0" w:line="240" w:lineRule="auto"/>
              <w:textAlignment w:val="baseline"/>
              <w:rPr>
                <w:rFonts w:eastAsiaTheme="minorEastAsia"/>
                <w:sz w:val="18"/>
                <w:szCs w:val="18"/>
                <w:lang w:eastAsia="hr-HR"/>
              </w:rPr>
            </w:pPr>
            <w:r w:rsidRPr="4DCF16DC">
              <w:rPr>
                <w:rFonts w:eastAsiaTheme="minorEastAsia"/>
                <w:sz w:val="18"/>
                <w:szCs w:val="18"/>
                <w:lang w:eastAsia="hr-HR"/>
              </w:rPr>
              <w:t>Zaključak studije sugerira da bi buduće intervencije trebale ciljati na strukturalno poticanje tjelesne aktivnosti u školama (kroz nastavu tjelesnog odgoja i odmore) te na edukaciju roditelja radi osiguravanja boljeg okruženja za san i ograničavanja upotrebe ekrana kod kuće.</w:t>
            </w:r>
          </w:p>
        </w:tc>
      </w:tr>
      <w:tr w:rsidR="0077472D" w:rsidRPr="005365AA" w14:paraId="1C403CB5" w14:textId="77777777" w:rsidTr="4DCF16DC">
        <w:trPr>
          <w:trHeight w:val="300"/>
        </w:trPr>
        <w:tc>
          <w:tcPr>
            <w:tcW w:w="3315" w:type="dxa"/>
            <w:hideMark/>
          </w:tcPr>
          <w:p w14:paraId="733089EA" w14:textId="77777777" w:rsidR="0077472D" w:rsidRPr="005365AA" w:rsidRDefault="0077472D" w:rsidP="4DCF16DC">
            <w:pPr>
              <w:spacing w:after="0" w:line="240" w:lineRule="auto"/>
              <w:textAlignment w:val="baseline"/>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9630" w:type="dxa"/>
          </w:tcPr>
          <w:p w14:paraId="2827DC6E" w14:textId="77777777" w:rsidR="0077472D" w:rsidRPr="005365AA" w:rsidRDefault="0077472D" w:rsidP="4DCF16DC">
            <w:pPr>
              <w:spacing w:after="0" w:line="240" w:lineRule="auto"/>
              <w:textAlignment w:val="baseline"/>
              <w:rPr>
                <w:rFonts w:eastAsiaTheme="minorEastAsia"/>
                <w:sz w:val="18"/>
                <w:szCs w:val="18"/>
                <w:lang w:eastAsia="hr-HR"/>
              </w:rPr>
            </w:pPr>
          </w:p>
        </w:tc>
      </w:tr>
    </w:tbl>
    <w:p w14:paraId="621982AB" w14:textId="77777777" w:rsidR="0077472D" w:rsidRDefault="0077472D" w:rsidP="00774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34187D28" w14:textId="77777777" w:rsidTr="4DCF16DC">
        <w:trPr>
          <w:trHeight w:val="300"/>
        </w:trPr>
        <w:tc>
          <w:tcPr>
            <w:tcW w:w="2837" w:type="dxa"/>
          </w:tcPr>
          <w:p w14:paraId="51A48F54" w14:textId="4ACDF87A"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39F3B7C5" w14:textId="035B2981" w:rsidR="7FA44153" w:rsidRDefault="7FA44153" w:rsidP="4DCF16DC">
            <w:pPr>
              <w:spacing w:after="0" w:line="240" w:lineRule="auto"/>
              <w:rPr>
                <w:rFonts w:eastAsiaTheme="minorEastAsia"/>
                <w:sz w:val="18"/>
                <w:szCs w:val="18"/>
              </w:rPr>
            </w:pPr>
            <w:r w:rsidRPr="4DCF16DC">
              <w:rPr>
                <w:rFonts w:eastAsiaTheme="minorEastAsia"/>
                <w:sz w:val="18"/>
                <w:szCs w:val="18"/>
              </w:rPr>
              <w:t xml:space="preserve">Montgomery, S. C., Donnelly, M., Badham, J., </w:t>
            </w:r>
            <w:r w:rsidRPr="4DCF16DC">
              <w:rPr>
                <w:rFonts w:eastAsiaTheme="minorEastAsia"/>
                <w:i/>
                <w:iCs/>
                <w:sz w:val="18"/>
                <w:szCs w:val="18"/>
              </w:rPr>
              <w:t>et al.</w:t>
            </w:r>
            <w:r w:rsidRPr="4DCF16DC">
              <w:rPr>
                <w:rFonts w:eastAsiaTheme="minorEastAsia"/>
                <w:sz w:val="18"/>
                <w:szCs w:val="18"/>
              </w:rPr>
              <w:t xml:space="preserve"> (2021). A multi-method exploration into the social networks of young teenagers and their physical activity behavior. </w:t>
            </w:r>
            <w:r w:rsidRPr="4DCF16DC">
              <w:rPr>
                <w:rFonts w:eastAsiaTheme="minorEastAsia"/>
                <w:i/>
                <w:iCs/>
                <w:sz w:val="18"/>
                <w:szCs w:val="18"/>
              </w:rPr>
              <w:t>BMC Public Health, 21</w:t>
            </w:r>
            <w:r w:rsidRPr="4DCF16DC">
              <w:rPr>
                <w:rFonts w:eastAsiaTheme="minorEastAsia"/>
                <w:sz w:val="18"/>
                <w:szCs w:val="18"/>
              </w:rPr>
              <w:t xml:space="preserve">, Article 77. </w:t>
            </w:r>
            <w:hyperlink r:id="rId21">
              <w:r w:rsidRPr="4DCF16DC">
                <w:rPr>
                  <w:rStyle w:val="Hiperveza"/>
                  <w:rFonts w:eastAsiaTheme="minorEastAsia"/>
                  <w:sz w:val="18"/>
                  <w:szCs w:val="18"/>
                </w:rPr>
                <w:t>https://doi.org/10.1186/s12889-020-10081-0</w:t>
              </w:r>
            </w:hyperlink>
          </w:p>
          <w:p w14:paraId="4B01F172" w14:textId="60894FA9" w:rsidR="5AB0C6CE" w:rsidRDefault="5AB0C6CE" w:rsidP="4DCF16DC">
            <w:pPr>
              <w:spacing w:after="0" w:line="240" w:lineRule="auto"/>
              <w:rPr>
                <w:rFonts w:eastAsiaTheme="minorEastAsia"/>
                <w:b/>
                <w:bCs/>
                <w:sz w:val="18"/>
                <w:szCs w:val="18"/>
                <w:lang w:eastAsia="hr-HR"/>
              </w:rPr>
            </w:pPr>
          </w:p>
        </w:tc>
      </w:tr>
      <w:tr w:rsidR="5AB0C6CE" w14:paraId="4CBE90C8" w14:textId="77777777" w:rsidTr="4DCF16DC">
        <w:trPr>
          <w:trHeight w:val="300"/>
        </w:trPr>
        <w:tc>
          <w:tcPr>
            <w:tcW w:w="2837" w:type="dxa"/>
          </w:tcPr>
          <w:p w14:paraId="1E1A9E0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44E1FE39" w14:textId="16AD6A84" w:rsidR="174D9AC2" w:rsidRDefault="0220DE07" w:rsidP="4DCF16DC">
            <w:pPr>
              <w:spacing w:after="0" w:line="240" w:lineRule="auto"/>
              <w:rPr>
                <w:rFonts w:eastAsiaTheme="minorEastAsia"/>
                <w:sz w:val="18"/>
                <w:szCs w:val="18"/>
                <w:lang w:eastAsia="hr-HR"/>
              </w:rPr>
            </w:pPr>
            <w:r w:rsidRPr="4DCF16DC">
              <w:rPr>
                <w:rFonts w:eastAsiaTheme="minorEastAsia"/>
                <w:sz w:val="18"/>
                <w:szCs w:val="18"/>
                <w:lang w:eastAsia="hr-HR"/>
              </w:rPr>
              <w:t>https://doi.org/10.1186/s12889-020-10081-0</w:t>
            </w:r>
          </w:p>
        </w:tc>
      </w:tr>
      <w:tr w:rsidR="5AB0C6CE" w14:paraId="125DE7B6" w14:textId="77777777" w:rsidTr="4DCF16DC">
        <w:trPr>
          <w:trHeight w:val="300"/>
        </w:trPr>
        <w:tc>
          <w:tcPr>
            <w:tcW w:w="2837" w:type="dxa"/>
          </w:tcPr>
          <w:p w14:paraId="54547E2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079FB7D8" w14:textId="61649663" w:rsidR="0B5B1C2C" w:rsidRDefault="05749D9A" w:rsidP="4DCF16DC">
            <w:pPr>
              <w:spacing w:after="0" w:line="240" w:lineRule="auto"/>
              <w:rPr>
                <w:rFonts w:eastAsiaTheme="minorEastAsia"/>
                <w:sz w:val="18"/>
                <w:szCs w:val="18"/>
                <w:lang w:eastAsia="hr-HR"/>
              </w:rPr>
            </w:pPr>
            <w:r w:rsidRPr="4DCF16DC">
              <w:rPr>
                <w:rFonts w:eastAsiaTheme="minorEastAsia"/>
                <w:sz w:val="18"/>
                <w:szCs w:val="18"/>
                <w:lang w:eastAsia="hr-HR"/>
              </w:rPr>
              <w:t>Tjelesna aktivnost adolescenata</w:t>
            </w:r>
          </w:p>
        </w:tc>
      </w:tr>
      <w:tr w:rsidR="5AB0C6CE" w14:paraId="765C0534" w14:textId="77777777" w:rsidTr="4DCF16DC">
        <w:trPr>
          <w:trHeight w:val="300"/>
        </w:trPr>
        <w:tc>
          <w:tcPr>
            <w:tcW w:w="2837" w:type="dxa"/>
          </w:tcPr>
          <w:p w14:paraId="04EDAF83"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63CD0F3F" w14:textId="03B23FEA" w:rsidR="32C63D74" w:rsidRDefault="0F158377" w:rsidP="4DCF16DC">
            <w:pPr>
              <w:spacing w:after="0" w:line="240" w:lineRule="auto"/>
              <w:rPr>
                <w:rFonts w:eastAsiaTheme="minorEastAsia"/>
                <w:sz w:val="18"/>
                <w:szCs w:val="18"/>
                <w:lang w:eastAsia="hr-HR"/>
              </w:rPr>
            </w:pPr>
            <w:r w:rsidRPr="4DCF16DC">
              <w:rPr>
                <w:rFonts w:eastAsiaTheme="minorEastAsia"/>
                <w:sz w:val="18"/>
                <w:szCs w:val="18"/>
                <w:lang w:eastAsia="hr-HR"/>
              </w:rPr>
              <w:t>Maja Lagator</w:t>
            </w:r>
          </w:p>
        </w:tc>
      </w:tr>
      <w:tr w:rsidR="5AB0C6CE" w14:paraId="6FD2D314" w14:textId="77777777" w:rsidTr="4DCF16DC">
        <w:trPr>
          <w:trHeight w:val="300"/>
        </w:trPr>
        <w:tc>
          <w:tcPr>
            <w:tcW w:w="2837" w:type="dxa"/>
          </w:tcPr>
          <w:p w14:paraId="55004A39"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0551C3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353EC76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152A6C1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5EA5088A"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1A51676C" w14:textId="5B9FBC7C" w:rsidR="301FADB3" w:rsidRDefault="3ED9E036"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5AB0C6CE" w14:paraId="3BD9EDF6" w14:textId="77777777" w:rsidTr="4DCF16DC">
        <w:trPr>
          <w:trHeight w:val="300"/>
        </w:trPr>
        <w:tc>
          <w:tcPr>
            <w:tcW w:w="2837" w:type="dxa"/>
          </w:tcPr>
          <w:p w14:paraId="6B95B8C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08E1DE7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4CD09C0" w14:textId="50A26A52" w:rsidR="0AC1154A" w:rsidRDefault="6291CC13" w:rsidP="4DCF16DC">
            <w:pPr>
              <w:spacing w:after="0" w:line="240" w:lineRule="auto"/>
              <w:rPr>
                <w:rFonts w:eastAsiaTheme="minorEastAsia"/>
                <w:sz w:val="18"/>
                <w:szCs w:val="18"/>
                <w:lang w:eastAsia="hr-HR"/>
              </w:rPr>
            </w:pPr>
            <w:r w:rsidRPr="4DCF16DC">
              <w:rPr>
                <w:rFonts w:eastAsiaTheme="minorEastAsia"/>
                <w:sz w:val="18"/>
                <w:szCs w:val="18"/>
                <w:lang w:eastAsia="hr-HR"/>
              </w:rPr>
              <w:t>BackgroundThere is a need for novel interventions to target inadequate levels of adolescent physical activity behavior. Previous research indicates that better understanding of the processes by which social networks influence physical activity behavior in adolescents may be useful to enhance intervention design.MethodsThis study used a multi-methods approach to aid our understanding about the role of social networks for adolescent physical activity behavior. The quantitative phase of data collection was analyzed using a three-step linear regression model using cross-sectional data from the WiSe study (n =529 participants, 48.6% female, mean age 14.38years (SD 0.32)). A demographically reflective sub-sample of schools were invited to take part in the qualitative phase, which involved focus group discussions. Thematic analysis was used to explore findings from the quantitative phase in greater depth, and identify other themes pertaining to the association between social networks and physical activity behavior.ResultsMales' physical activity behavior was predicted by their friend group (0.46, p =0.007) whereas females' physical activity was predicted by their best friend (0.21, p =0.03). The three main findings that were uncovered by the regression analysis were explored during the qualitative phase: 1) friends have similar physical activity behaviors; 2) friendship social networks may influence differently early adolescent male and female physical activity behavior; 3) popularity and sociability were not associated with physical activity behavior. Two additional themes emerged from the analysis of focus group data: 4) social norms and 5) external factors that may impact the relationship between adolescent physical activity behavior and social networks.ConclusionsThe investigation of the interplay between the findings from each phase of the inquiry indicated that social networks influence in different ways and to different degrees the physical activity of adolescent males and females. In turn, these insights point to the need for a systematic tailoring process for the development and implementation of physical activity behavior interventions.</w:t>
            </w:r>
          </w:p>
        </w:tc>
      </w:tr>
      <w:tr w:rsidR="5AB0C6CE" w14:paraId="7F56D02D" w14:textId="77777777" w:rsidTr="4DCF16DC">
        <w:trPr>
          <w:trHeight w:val="300"/>
        </w:trPr>
        <w:tc>
          <w:tcPr>
            <w:tcW w:w="2837" w:type="dxa"/>
          </w:tcPr>
          <w:p w14:paraId="40D1222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09B58583" w14:textId="1B6090F6" w:rsidR="5E24BC13" w:rsidRDefault="44873136" w:rsidP="4DCF16DC">
            <w:pPr>
              <w:spacing w:after="0" w:line="240" w:lineRule="auto"/>
              <w:rPr>
                <w:rFonts w:eastAsiaTheme="minorEastAsia"/>
                <w:sz w:val="18"/>
                <w:szCs w:val="18"/>
                <w:lang w:eastAsia="hr-HR"/>
              </w:rPr>
            </w:pPr>
            <w:r w:rsidRPr="4DCF16DC">
              <w:rPr>
                <w:rFonts w:eastAsiaTheme="minorEastAsia"/>
                <w:sz w:val="18"/>
                <w:szCs w:val="18"/>
                <w:lang w:eastAsia="hr-HR"/>
              </w:rPr>
              <w:t>Adolescents; Multi-methods analysis; Physical activity; Social networks</w:t>
            </w:r>
          </w:p>
        </w:tc>
      </w:tr>
      <w:tr w:rsidR="5AB0C6CE" w14:paraId="634CBF3E" w14:textId="77777777" w:rsidTr="4DCF16DC">
        <w:trPr>
          <w:trHeight w:val="300"/>
        </w:trPr>
        <w:tc>
          <w:tcPr>
            <w:tcW w:w="2837" w:type="dxa"/>
          </w:tcPr>
          <w:p w14:paraId="476C793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113465C5" w14:textId="2AAD8F00" w:rsidR="4CC005BD" w:rsidRDefault="523DE0A9" w:rsidP="4DCF16DC">
            <w:pPr>
              <w:spacing w:after="0" w:line="240" w:lineRule="auto"/>
              <w:rPr>
                <w:rFonts w:eastAsiaTheme="minorEastAsia"/>
                <w:sz w:val="18"/>
                <w:szCs w:val="18"/>
                <w:lang w:eastAsia="hr-HR"/>
              </w:rPr>
            </w:pPr>
            <w:r w:rsidRPr="4DCF16DC">
              <w:rPr>
                <w:rFonts w:eastAsiaTheme="minorEastAsia"/>
                <w:sz w:val="18"/>
                <w:szCs w:val="18"/>
                <w:lang w:eastAsia="hr-HR"/>
              </w:rPr>
              <w:t>Studija istražuje kako društveni život i mreže utječu na TA adolescenata. Istraživanje je obuhvatilo 529 sudionika prosječne dobi od 14,38 godina iz 23 škole u Sjevernoj Irskoj. Kvantitativna faza mjerila je povezanost između tjelesne aktivnosti učenika i njihovih mreža prijateljstava unutar razreda, dok je kvalitativna faza kroz fokus grupe dublje istraživala te nalaze</w:t>
            </w:r>
          </w:p>
        </w:tc>
      </w:tr>
      <w:tr w:rsidR="5AB0C6CE" w14:paraId="30F4D328" w14:textId="77777777" w:rsidTr="4DCF16DC">
        <w:trPr>
          <w:trHeight w:val="300"/>
        </w:trPr>
        <w:tc>
          <w:tcPr>
            <w:tcW w:w="2837" w:type="dxa"/>
          </w:tcPr>
          <w:p w14:paraId="11478BF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0F477C5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499DE2F2" w14:textId="6A291A68" w:rsidR="5CC6AE0E" w:rsidRDefault="3B1F7992" w:rsidP="4DCF16DC">
            <w:pPr>
              <w:spacing w:after="0" w:line="240" w:lineRule="auto"/>
              <w:rPr>
                <w:rFonts w:eastAsiaTheme="minorEastAsia"/>
                <w:sz w:val="18"/>
                <w:szCs w:val="18"/>
                <w:lang w:eastAsia="hr-HR"/>
              </w:rPr>
            </w:pPr>
            <w:r w:rsidRPr="4DCF16DC">
              <w:rPr>
                <w:rFonts w:eastAsiaTheme="minorEastAsia"/>
                <w:sz w:val="18"/>
                <w:szCs w:val="18"/>
                <w:lang w:eastAsia="hr-HR"/>
              </w:rPr>
              <w:t>Spolne razlike u utjecaju: Razina tjelesne aktivnosti kod dječaka bila je predviđena aktivnošću njihove cjelokupne grupe prijatelja, dok je kod djevojčica aktivnost bila povezana isključivo s ponašanjem njihove najbolje prijateljice.</w:t>
            </w:r>
          </w:p>
          <w:p w14:paraId="0628613E" w14:textId="37693AD5" w:rsidR="5CC6AE0E" w:rsidRDefault="1A909691" w:rsidP="4DCF16DC">
            <w:pPr>
              <w:spacing w:after="0" w:line="240" w:lineRule="auto"/>
              <w:rPr>
                <w:rFonts w:eastAsiaTheme="minorEastAsia"/>
                <w:sz w:val="18"/>
                <w:szCs w:val="18"/>
                <w:lang w:eastAsia="hr-HR"/>
              </w:rPr>
            </w:pPr>
            <w:r w:rsidRPr="4DCF16DC">
              <w:rPr>
                <w:rFonts w:eastAsiaTheme="minorEastAsia"/>
                <w:sz w:val="18"/>
                <w:szCs w:val="18"/>
                <w:lang w:eastAsia="hr-HR"/>
              </w:rPr>
              <w:t>Sličnost među prijateljima: Utvrđena je značajna korelacija koja ukazuje na to da prijatelji dijele slične obrasce tjelesne aktivnosti</w:t>
            </w:r>
            <w:r w:rsidR="033E1DBB" w:rsidRPr="4DCF16DC">
              <w:rPr>
                <w:rFonts w:eastAsiaTheme="minorEastAsia"/>
                <w:sz w:val="18"/>
                <w:szCs w:val="18"/>
                <w:lang w:eastAsia="hr-HR"/>
              </w:rPr>
              <w:t>.</w:t>
            </w:r>
          </w:p>
          <w:p w14:paraId="1A422CCF" w14:textId="37C979AF" w:rsidR="5CC6AE0E" w:rsidRDefault="3B1F7992" w:rsidP="4DCF16DC">
            <w:pPr>
              <w:spacing w:after="0" w:line="240" w:lineRule="auto"/>
              <w:rPr>
                <w:rFonts w:eastAsiaTheme="minorEastAsia"/>
                <w:sz w:val="18"/>
                <w:szCs w:val="18"/>
                <w:lang w:eastAsia="hr-HR"/>
              </w:rPr>
            </w:pPr>
            <w:r w:rsidRPr="4DCF16DC">
              <w:rPr>
                <w:rFonts w:eastAsiaTheme="minorEastAsia"/>
                <w:sz w:val="18"/>
                <w:szCs w:val="18"/>
                <w:lang w:eastAsia="hr-HR"/>
              </w:rPr>
              <w:t>Popularnost nije presudna: Nalazi su pokazali da popularnost i društvenost učenika u razrednom okruženju nisu povezani s razinom njihove tjelesne aktivnosti.</w:t>
            </w:r>
          </w:p>
          <w:p w14:paraId="4E9A12FC" w14:textId="40DCB05C" w:rsidR="5CC6AE0E" w:rsidRDefault="3B1F7992" w:rsidP="4DCF16DC">
            <w:pPr>
              <w:spacing w:after="0" w:line="240" w:lineRule="auto"/>
              <w:rPr>
                <w:rFonts w:eastAsiaTheme="minorEastAsia"/>
                <w:sz w:val="18"/>
                <w:szCs w:val="18"/>
                <w:lang w:eastAsia="hr-HR"/>
              </w:rPr>
            </w:pPr>
            <w:r w:rsidRPr="4DCF16DC">
              <w:rPr>
                <w:rFonts w:eastAsiaTheme="minorEastAsia"/>
                <w:sz w:val="18"/>
                <w:szCs w:val="18"/>
                <w:lang w:eastAsia="hr-HR"/>
              </w:rPr>
              <w:t>Neformalna aktivnost: Kvalitativna analiza otkrila je da tjelesna aktivnost često nastaje kao nusprodukt druženja s prijateljima, pri čemu dječaci češće spominju neobavezne sportske igre poput nogometa, a djevojčice zajedničke šetnje i razgovor.</w:t>
            </w:r>
          </w:p>
          <w:p w14:paraId="04A2B543" w14:textId="58863C96" w:rsidR="5CC6AE0E" w:rsidRDefault="3B1F7992" w:rsidP="4DCF16DC">
            <w:pPr>
              <w:spacing w:after="0" w:line="240" w:lineRule="auto"/>
              <w:rPr>
                <w:rFonts w:eastAsiaTheme="minorEastAsia"/>
                <w:sz w:val="18"/>
                <w:szCs w:val="18"/>
                <w:lang w:eastAsia="hr-HR"/>
              </w:rPr>
            </w:pPr>
            <w:r w:rsidRPr="4DCF16DC">
              <w:rPr>
                <w:rFonts w:eastAsiaTheme="minorEastAsia"/>
                <w:sz w:val="18"/>
                <w:szCs w:val="18"/>
                <w:lang w:eastAsia="hr-HR"/>
              </w:rPr>
              <w:t>Negativan vršnjački utjecaj: Prijatelji mogu i obeshrabriti tjelesnu aktivnost ako većina grupe ne želi sudjelovati ili ako sportski angažman oduzima previše vremena od zajedničkog druženja.</w:t>
            </w:r>
          </w:p>
          <w:p w14:paraId="44073541" w14:textId="6BF20215" w:rsidR="5CC6AE0E" w:rsidRDefault="3B1F7992" w:rsidP="4DCF16DC">
            <w:pPr>
              <w:spacing w:after="0" w:line="240" w:lineRule="auto"/>
              <w:rPr>
                <w:rFonts w:eastAsiaTheme="minorEastAsia"/>
                <w:sz w:val="18"/>
                <w:szCs w:val="18"/>
                <w:lang w:eastAsia="hr-HR"/>
              </w:rPr>
            </w:pPr>
            <w:r w:rsidRPr="4DCF16DC">
              <w:rPr>
                <w:rFonts w:eastAsiaTheme="minorEastAsia"/>
                <w:sz w:val="18"/>
                <w:szCs w:val="18"/>
                <w:lang w:eastAsia="hr-HR"/>
              </w:rPr>
              <w:t>Vanjski faktori: Čimbenici poput vremenskih uvjeta, utjecaja učitelja i trenera, te selekcije u sportske timove značajno utječu na motivaciju i sudjelovanje adolescenata u aktivnostima.</w:t>
            </w:r>
          </w:p>
          <w:p w14:paraId="3213C3CD" w14:textId="05AF5BF4" w:rsidR="5AB0C6CE" w:rsidRDefault="5AB0C6CE" w:rsidP="4DCF16DC">
            <w:pPr>
              <w:spacing w:after="0" w:line="240" w:lineRule="auto"/>
              <w:rPr>
                <w:rFonts w:eastAsiaTheme="minorEastAsia"/>
                <w:sz w:val="18"/>
                <w:szCs w:val="18"/>
                <w:lang w:eastAsia="hr-HR"/>
              </w:rPr>
            </w:pPr>
          </w:p>
        </w:tc>
      </w:tr>
      <w:tr w:rsidR="5AB0C6CE" w14:paraId="3AAB5CC9" w14:textId="77777777" w:rsidTr="4DCF16DC">
        <w:trPr>
          <w:trHeight w:val="300"/>
        </w:trPr>
        <w:tc>
          <w:tcPr>
            <w:tcW w:w="2837" w:type="dxa"/>
          </w:tcPr>
          <w:p w14:paraId="46C65F2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260803F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E08ECB4" w14:textId="27A522D2" w:rsidR="138C81B6" w:rsidRDefault="5C76008D" w:rsidP="4DCF16DC">
            <w:pPr>
              <w:spacing w:after="0" w:line="240" w:lineRule="auto"/>
              <w:rPr>
                <w:rFonts w:eastAsiaTheme="minorEastAsia"/>
                <w:sz w:val="18"/>
                <w:szCs w:val="18"/>
                <w:lang w:eastAsia="hr-HR"/>
              </w:rPr>
            </w:pPr>
            <w:r w:rsidRPr="4DCF16DC">
              <w:rPr>
                <w:rFonts w:eastAsiaTheme="minorEastAsia"/>
                <w:sz w:val="18"/>
                <w:szCs w:val="18"/>
                <w:lang w:eastAsia="hr-HR"/>
              </w:rPr>
              <w:t>Autori ističu potrebu za prilagođenim intervencijama prema spolu sudionika. Za dječake se preporučuju grupni pristupi temeljeni na promjeni društvenih normi unutar širih krugova prijatelja, dok bi intervencije za djevojčice trebale biti usmjerene na dijadne modele (rad u parovima) koji potiču najbolje prijateljice da budu aktivne zajedno. Studija naglašava da razumijevanje dubljih društvenih veza može poboljšati dizajn programa za promjenu zdravstvenog ponašanja kod mladih.</w:t>
            </w:r>
          </w:p>
        </w:tc>
      </w:tr>
      <w:tr w:rsidR="5AB0C6CE" w14:paraId="6781BECF" w14:textId="77777777" w:rsidTr="4DCF16DC">
        <w:trPr>
          <w:trHeight w:val="300"/>
        </w:trPr>
        <w:tc>
          <w:tcPr>
            <w:tcW w:w="2837" w:type="dxa"/>
          </w:tcPr>
          <w:p w14:paraId="4C60211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5932B505" w14:textId="77777777" w:rsidR="5AB0C6CE" w:rsidRDefault="5AB0C6CE" w:rsidP="4DCF16DC">
            <w:pPr>
              <w:spacing w:after="0" w:line="240" w:lineRule="auto"/>
              <w:rPr>
                <w:rFonts w:eastAsiaTheme="minorEastAsia"/>
                <w:sz w:val="18"/>
                <w:szCs w:val="18"/>
                <w:lang w:eastAsia="hr-HR"/>
              </w:rPr>
            </w:pPr>
          </w:p>
        </w:tc>
      </w:tr>
    </w:tbl>
    <w:p w14:paraId="4B81B6D9" w14:textId="662CA029" w:rsidR="5AB0C6CE" w:rsidRDefault="5AB0C6CE"/>
    <w:p w14:paraId="4CD52261" w14:textId="4BE4A6AF"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60206B6B" w14:textId="77777777" w:rsidTr="4DCF16DC">
        <w:trPr>
          <w:trHeight w:val="300"/>
        </w:trPr>
        <w:tc>
          <w:tcPr>
            <w:tcW w:w="2837" w:type="dxa"/>
          </w:tcPr>
          <w:p w14:paraId="3621A55E" w14:textId="25039088"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1565C3E6" w14:textId="316A920D" w:rsidR="7CEBCF87" w:rsidRDefault="7CEBCF87" w:rsidP="4DCF16DC">
            <w:pPr>
              <w:spacing w:after="0" w:line="240" w:lineRule="auto"/>
              <w:rPr>
                <w:rFonts w:eastAsiaTheme="minorEastAsia"/>
                <w:sz w:val="18"/>
                <w:szCs w:val="18"/>
              </w:rPr>
            </w:pPr>
            <w:r w:rsidRPr="4DCF16DC">
              <w:rPr>
                <w:rFonts w:eastAsiaTheme="minorEastAsia"/>
                <w:sz w:val="18"/>
                <w:szCs w:val="18"/>
              </w:rPr>
              <w:t xml:space="preserve">Xie, C., Zhang, Z., Zhang, X., </w:t>
            </w:r>
            <w:r w:rsidRPr="4DCF16DC">
              <w:rPr>
                <w:rFonts w:eastAsiaTheme="minorEastAsia"/>
                <w:i/>
                <w:iCs/>
                <w:sz w:val="18"/>
                <w:szCs w:val="18"/>
              </w:rPr>
              <w:t>et al.</w:t>
            </w:r>
            <w:r w:rsidRPr="4DCF16DC">
              <w:rPr>
                <w:rFonts w:eastAsiaTheme="minorEastAsia"/>
                <w:sz w:val="18"/>
                <w:szCs w:val="18"/>
              </w:rPr>
              <w:t xml:space="preserve"> (2025). Effects of interventions on physical activity behavior change in children and adolescents based on a transtheoretical model: A systematic review. </w:t>
            </w:r>
            <w:r w:rsidRPr="4DCF16DC">
              <w:rPr>
                <w:rFonts w:eastAsiaTheme="minorEastAsia"/>
                <w:i/>
                <w:iCs/>
                <w:sz w:val="18"/>
                <w:szCs w:val="18"/>
              </w:rPr>
              <w:t>BMC Public Health, 25</w:t>
            </w:r>
            <w:r w:rsidRPr="4DCF16DC">
              <w:rPr>
                <w:rFonts w:eastAsiaTheme="minorEastAsia"/>
                <w:sz w:val="18"/>
                <w:szCs w:val="18"/>
              </w:rPr>
              <w:t xml:space="preserve">, Article 657. </w:t>
            </w:r>
            <w:hyperlink r:id="rId22">
              <w:r w:rsidRPr="4DCF16DC">
                <w:rPr>
                  <w:rStyle w:val="Hiperveza"/>
                  <w:rFonts w:eastAsiaTheme="minorEastAsia"/>
                  <w:sz w:val="18"/>
                  <w:szCs w:val="18"/>
                </w:rPr>
                <w:t>https://doi.org/10.1186/s12889-025-21336-z</w:t>
              </w:r>
            </w:hyperlink>
          </w:p>
          <w:p w14:paraId="12D360F7" w14:textId="0DBAFD96" w:rsidR="5AB0C6CE" w:rsidRDefault="5AB0C6CE" w:rsidP="4DCF16DC">
            <w:pPr>
              <w:spacing w:after="0" w:line="240" w:lineRule="auto"/>
              <w:rPr>
                <w:rFonts w:eastAsiaTheme="minorEastAsia"/>
                <w:b/>
                <w:bCs/>
                <w:sz w:val="18"/>
                <w:szCs w:val="18"/>
                <w:lang w:eastAsia="hr-HR"/>
              </w:rPr>
            </w:pPr>
          </w:p>
          <w:p w14:paraId="7CB723D1" w14:textId="243802C3" w:rsidR="5AB0C6CE" w:rsidRDefault="5AB0C6CE" w:rsidP="4DCF16DC">
            <w:pPr>
              <w:spacing w:after="0" w:line="240" w:lineRule="auto"/>
              <w:rPr>
                <w:rFonts w:eastAsiaTheme="minorEastAsia"/>
                <w:b/>
                <w:bCs/>
                <w:sz w:val="18"/>
                <w:szCs w:val="18"/>
                <w:lang w:eastAsia="hr-HR"/>
              </w:rPr>
            </w:pPr>
          </w:p>
        </w:tc>
      </w:tr>
      <w:tr w:rsidR="5AB0C6CE" w14:paraId="71D9A4F9" w14:textId="77777777" w:rsidTr="4DCF16DC">
        <w:trPr>
          <w:trHeight w:val="300"/>
        </w:trPr>
        <w:tc>
          <w:tcPr>
            <w:tcW w:w="2837" w:type="dxa"/>
          </w:tcPr>
          <w:p w14:paraId="079E5016"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14720757" w14:textId="64C3FCFF" w:rsidR="20EEB3C0" w:rsidRDefault="314262B1" w:rsidP="4DCF16DC">
            <w:pPr>
              <w:spacing w:after="0" w:line="240" w:lineRule="auto"/>
              <w:rPr>
                <w:rFonts w:eastAsiaTheme="minorEastAsia"/>
                <w:sz w:val="18"/>
                <w:szCs w:val="18"/>
                <w:lang w:eastAsia="hr-HR"/>
              </w:rPr>
            </w:pPr>
            <w:r w:rsidRPr="4DCF16DC">
              <w:rPr>
                <w:rFonts w:eastAsiaTheme="minorEastAsia"/>
                <w:sz w:val="18"/>
                <w:szCs w:val="18"/>
                <w:lang w:eastAsia="hr-HR"/>
              </w:rPr>
              <w:t>https://doi.org/10.1186/s12889-025-21336-z</w:t>
            </w:r>
          </w:p>
        </w:tc>
      </w:tr>
      <w:tr w:rsidR="5AB0C6CE" w14:paraId="5064278B" w14:textId="77777777" w:rsidTr="4DCF16DC">
        <w:trPr>
          <w:trHeight w:val="300"/>
        </w:trPr>
        <w:tc>
          <w:tcPr>
            <w:tcW w:w="2837" w:type="dxa"/>
          </w:tcPr>
          <w:p w14:paraId="783910B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331C8B7D" w14:textId="6193702C" w:rsidR="281200E4" w:rsidRDefault="4B51DAAA" w:rsidP="4DCF16DC">
            <w:pPr>
              <w:spacing w:after="0" w:line="240" w:lineRule="auto"/>
              <w:rPr>
                <w:rFonts w:eastAsiaTheme="minorEastAsia"/>
                <w:sz w:val="18"/>
                <w:szCs w:val="18"/>
                <w:lang w:eastAsia="hr-HR"/>
              </w:rPr>
            </w:pPr>
            <w:r w:rsidRPr="4DCF16DC">
              <w:rPr>
                <w:rFonts w:eastAsiaTheme="minorEastAsia"/>
                <w:sz w:val="18"/>
                <w:szCs w:val="18"/>
                <w:lang w:eastAsia="hr-HR"/>
              </w:rPr>
              <w:t>Tjelesna aktivnost djece i adolescenata</w:t>
            </w:r>
          </w:p>
        </w:tc>
      </w:tr>
      <w:tr w:rsidR="5AB0C6CE" w14:paraId="40C07EA5" w14:textId="77777777" w:rsidTr="4DCF16DC">
        <w:trPr>
          <w:trHeight w:val="300"/>
        </w:trPr>
        <w:tc>
          <w:tcPr>
            <w:tcW w:w="2837" w:type="dxa"/>
          </w:tcPr>
          <w:p w14:paraId="7590CFF5"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1EEA01E8" w14:textId="1D7C6534" w:rsidR="684B3ADD" w:rsidRDefault="27D28D38" w:rsidP="4DCF16DC">
            <w:pPr>
              <w:spacing w:after="0" w:line="240" w:lineRule="auto"/>
              <w:rPr>
                <w:rFonts w:eastAsiaTheme="minorEastAsia"/>
                <w:sz w:val="18"/>
                <w:szCs w:val="18"/>
                <w:lang w:eastAsia="hr-HR"/>
              </w:rPr>
            </w:pPr>
            <w:r w:rsidRPr="4DCF16DC">
              <w:rPr>
                <w:rFonts w:eastAsiaTheme="minorEastAsia"/>
                <w:sz w:val="18"/>
                <w:szCs w:val="18"/>
                <w:lang w:eastAsia="hr-HR"/>
              </w:rPr>
              <w:t>Maja Lagator</w:t>
            </w:r>
          </w:p>
        </w:tc>
      </w:tr>
      <w:tr w:rsidR="5AB0C6CE" w14:paraId="6FAD5F9E" w14:textId="77777777" w:rsidTr="4DCF16DC">
        <w:trPr>
          <w:trHeight w:val="300"/>
        </w:trPr>
        <w:tc>
          <w:tcPr>
            <w:tcW w:w="2837" w:type="dxa"/>
          </w:tcPr>
          <w:p w14:paraId="39CB1CD0"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49BB59E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78875C6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3B25D55A"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5ABC5A17"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1AC6FCDD" w14:textId="2A9024A3" w:rsidR="7261372C" w:rsidRDefault="3E08E0C1"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3</w:t>
            </w:r>
          </w:p>
        </w:tc>
      </w:tr>
      <w:tr w:rsidR="5AB0C6CE" w14:paraId="73F45AAB" w14:textId="77777777" w:rsidTr="4DCF16DC">
        <w:trPr>
          <w:trHeight w:val="300"/>
        </w:trPr>
        <w:tc>
          <w:tcPr>
            <w:tcW w:w="2837" w:type="dxa"/>
          </w:tcPr>
          <w:p w14:paraId="1C8E323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4A229F5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FE93332" w14:textId="2D184B99" w:rsidR="4332F0EF" w:rsidRDefault="16A99494" w:rsidP="4DCF16DC">
            <w:pPr>
              <w:spacing w:after="0" w:line="240" w:lineRule="auto"/>
              <w:rPr>
                <w:rFonts w:eastAsiaTheme="minorEastAsia"/>
                <w:sz w:val="18"/>
                <w:szCs w:val="18"/>
                <w:lang w:eastAsia="hr-HR"/>
              </w:rPr>
            </w:pPr>
            <w:r w:rsidRPr="4DCF16DC">
              <w:rPr>
                <w:rFonts w:eastAsiaTheme="minorEastAsia"/>
                <w:sz w:val="18"/>
                <w:szCs w:val="18"/>
                <w:lang w:eastAsia="hr-HR"/>
              </w:rPr>
              <w:t>BackgroundThe Trans-theoretical Model (TTM) has been applied in numerous empirical studies concerning physical activity (PA) interventions for children and adolescents. Consequently, the aim of this review is to identify and synthesize the evidence regarding the effectiveness of TTM-based interventions in promoting PA behavior change among this demographic, with the goal of informing future research and policy development.MethodsA systematic review was performed followed the PRISMA guideline, protocol was registered in PROSPERO (CRD42023416216). Computer-based searches were conducted in the CNKI, Wan-Fang, VIP, Web of Science (WOS), PubMed, and EBSCO databases to identify relevant literature. Two researchers independently conducted the literature screening and quality assessment. The quality of the randomized controlled trials (RCTs) was evaluated using the Risk of Bias Assessment Tool version 5.1.0, as recommended by the Cochrane Collaboration Network. For quality assessment of quasi experiments (QEs), the Risk Of Bias In Non-randomised Studies-of Interventions (ROBINS-I) tool was employed.ResultsA total of 22 articles were included in the systematic review. Stage-matched interventions and interventions designed based on a more complete structure of the TTM are more likely to promote an increase in the actual levels of PA among children and adolescents, as well as to facilitate an increase in their PA stages. Interventions that combine health information and health behavior feedback are more likely to promote an increase in actual PA levels and the advancement of PA stages; while interventions that include PA programs are more likely to facilitate improvements in health indicators.ConclusionThe effectiveness of TTM-based PA behavior change interventions for children and adolescents depends on the specific measures employed. Interventions that are stage-matched and integrate multiple behavior change techniques using the complete TTM structure are more likely to enhance PA and its associated health benefits. However, there are several normative issues that remain. These include the misuse of incremental stages as a substitute for PA, neglect of stage specificity when applying the model, a lack of framework for behavior change techniques in targeted interventions, and an absence of a dynamic feedback process.</w:t>
            </w:r>
          </w:p>
        </w:tc>
      </w:tr>
      <w:tr w:rsidR="5AB0C6CE" w14:paraId="1D7D18D6" w14:textId="77777777" w:rsidTr="4DCF16DC">
        <w:trPr>
          <w:trHeight w:val="300"/>
        </w:trPr>
        <w:tc>
          <w:tcPr>
            <w:tcW w:w="2837" w:type="dxa"/>
          </w:tcPr>
          <w:p w14:paraId="431E496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078AC6B1" w14:textId="57760E81" w:rsidR="703359EF" w:rsidRDefault="5FB76C61" w:rsidP="4DCF16DC">
            <w:pPr>
              <w:spacing w:after="0" w:line="240" w:lineRule="auto"/>
              <w:rPr>
                <w:rFonts w:eastAsiaTheme="minorEastAsia"/>
                <w:sz w:val="18"/>
                <w:szCs w:val="18"/>
                <w:lang w:eastAsia="hr-HR"/>
              </w:rPr>
            </w:pPr>
            <w:r w:rsidRPr="4DCF16DC">
              <w:rPr>
                <w:rFonts w:eastAsiaTheme="minorEastAsia"/>
                <w:sz w:val="18"/>
                <w:szCs w:val="18"/>
                <w:lang w:eastAsia="hr-HR"/>
              </w:rPr>
              <w:t>Trans-theoretical model (TTM), Physical activity, Stage of change, Behavioral change, Children and adolescents</w:t>
            </w:r>
          </w:p>
        </w:tc>
      </w:tr>
      <w:tr w:rsidR="5AB0C6CE" w14:paraId="3E7C9EB1" w14:textId="77777777" w:rsidTr="4DCF16DC">
        <w:trPr>
          <w:trHeight w:val="300"/>
        </w:trPr>
        <w:tc>
          <w:tcPr>
            <w:tcW w:w="2837" w:type="dxa"/>
          </w:tcPr>
          <w:p w14:paraId="6D6B4D6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67F1FBC3" w14:textId="589A6323" w:rsidR="5C4DF912" w:rsidRDefault="5D37B9B8" w:rsidP="4DCF16DC">
            <w:pPr>
              <w:spacing w:after="0" w:line="240" w:lineRule="auto"/>
              <w:rPr>
                <w:rFonts w:eastAsiaTheme="minorEastAsia"/>
                <w:sz w:val="18"/>
                <w:szCs w:val="18"/>
                <w:lang w:eastAsia="hr-HR"/>
              </w:rPr>
            </w:pPr>
            <w:r w:rsidRPr="4DCF16DC">
              <w:rPr>
                <w:rFonts w:eastAsiaTheme="minorEastAsia"/>
                <w:sz w:val="18"/>
                <w:szCs w:val="18"/>
                <w:lang w:eastAsia="hr-HR"/>
              </w:rPr>
              <w:t>Sustavni pregled učinkovitosti intervencija temeljenih na transteorijskom modelu (TTM) u promicanju promjene ponašanja vezanog uz tjelesnu aktivnost (PA) kod djece i adolescenata.</w:t>
            </w:r>
          </w:p>
          <w:p w14:paraId="3E2545CD" w14:textId="42922416" w:rsidR="5C4DF912" w:rsidRDefault="5D37B9B8" w:rsidP="4DCF16DC">
            <w:pPr>
              <w:spacing w:after="0" w:line="240" w:lineRule="auto"/>
              <w:rPr>
                <w:rFonts w:eastAsiaTheme="minorEastAsia"/>
                <w:sz w:val="18"/>
                <w:szCs w:val="18"/>
                <w:lang w:eastAsia="hr-HR"/>
              </w:rPr>
            </w:pPr>
            <w:r w:rsidRPr="4DCF16DC">
              <w:rPr>
                <w:rFonts w:eastAsiaTheme="minorEastAsia"/>
                <w:sz w:val="18"/>
                <w:szCs w:val="18"/>
                <w:lang w:eastAsia="hr-HR"/>
              </w:rPr>
              <w:t>Glavni cilj rada bio je sintetizirati dokaze o tome kako TTM-bazirane mjere utječu na razine kretanja, faze promjene i zdravstvene pokazatelje kod mladih.</w:t>
            </w:r>
          </w:p>
          <w:p w14:paraId="2CB4D597" w14:textId="32A264E6" w:rsidR="0672AC99" w:rsidRDefault="71B292CC" w:rsidP="4DCF16DC">
            <w:pPr>
              <w:spacing w:after="0" w:line="240" w:lineRule="auto"/>
              <w:rPr>
                <w:rFonts w:eastAsiaTheme="minorEastAsia"/>
                <w:sz w:val="18"/>
                <w:szCs w:val="18"/>
                <w:lang w:eastAsia="hr-HR"/>
              </w:rPr>
            </w:pPr>
            <w:r w:rsidRPr="4DCF16DC">
              <w:rPr>
                <w:rFonts w:eastAsiaTheme="minorEastAsia"/>
                <w:sz w:val="18"/>
                <w:szCs w:val="18"/>
                <w:lang w:eastAsia="hr-HR"/>
              </w:rPr>
              <w:t>Analizirane su intervencije koje koriste elemente TTM-a: faze promjene (SOC), procese promjene (POC), samoefikasnost (SEI) i odlučujuću ravnotežu (DBL).</w:t>
            </w:r>
          </w:p>
        </w:tc>
      </w:tr>
      <w:tr w:rsidR="5AB0C6CE" w14:paraId="35485617" w14:textId="77777777" w:rsidTr="4DCF16DC">
        <w:trPr>
          <w:trHeight w:val="300"/>
        </w:trPr>
        <w:tc>
          <w:tcPr>
            <w:tcW w:w="2837" w:type="dxa"/>
          </w:tcPr>
          <w:p w14:paraId="5B395F4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7585EC9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C87ABB1" w14:textId="7A068499" w:rsidR="6DCFD274" w:rsidRDefault="145FEF99" w:rsidP="4DCF16DC">
            <w:pPr>
              <w:spacing w:after="0" w:line="240" w:lineRule="auto"/>
              <w:rPr>
                <w:rFonts w:eastAsiaTheme="minorEastAsia"/>
                <w:sz w:val="18"/>
                <w:szCs w:val="18"/>
                <w:lang w:eastAsia="hr-HR"/>
              </w:rPr>
            </w:pPr>
            <w:r w:rsidRPr="4DCF16DC">
              <w:rPr>
                <w:rFonts w:eastAsiaTheme="minorEastAsia"/>
                <w:sz w:val="18"/>
                <w:szCs w:val="18"/>
                <w:lang w:eastAsia="hr-HR"/>
              </w:rPr>
              <w:t>1. Važnost usklađivanja s fazama promjene (Stage-matching)</w:t>
            </w:r>
            <w:r w:rsidR="1F06F0AB" w:rsidRPr="4DCF16DC">
              <w:rPr>
                <w:rFonts w:eastAsiaTheme="minorEastAsia"/>
                <w:sz w:val="18"/>
                <w:szCs w:val="18"/>
                <w:lang w:eastAsia="hr-HR"/>
              </w:rPr>
              <w:t>:</w:t>
            </w:r>
            <w:r w:rsidRPr="4DCF16DC">
              <w:rPr>
                <w:rFonts w:eastAsiaTheme="minorEastAsia"/>
                <w:sz w:val="18"/>
                <w:szCs w:val="18"/>
                <w:lang w:eastAsia="hr-HR"/>
              </w:rPr>
              <w:t xml:space="preserve"> Intervencije koje su prilagođene specifičnoj fazi u kojoj se sudionik nalazi pokazale su se značajno učinkovitijima. Čak 87,5% takvih intervencija postiglo je pozitivan učinak na stvarnu tjelesnu aktivnost, u usporedbi sa samo 33,3% uspjeha kod onih koje nisu bile usklađene s fazama.</w:t>
            </w:r>
          </w:p>
          <w:p w14:paraId="386F920F" w14:textId="0CB6FE83" w:rsidR="6DCFD274" w:rsidRDefault="145FEF99" w:rsidP="4DCF16DC">
            <w:pPr>
              <w:spacing w:after="0" w:line="240" w:lineRule="auto"/>
              <w:rPr>
                <w:rFonts w:eastAsiaTheme="minorEastAsia"/>
                <w:sz w:val="18"/>
                <w:szCs w:val="18"/>
                <w:lang w:eastAsia="hr-HR"/>
              </w:rPr>
            </w:pPr>
            <w:r w:rsidRPr="4DCF16DC">
              <w:rPr>
                <w:rFonts w:eastAsiaTheme="minorEastAsia"/>
                <w:sz w:val="18"/>
                <w:szCs w:val="18"/>
                <w:lang w:eastAsia="hr-HR"/>
              </w:rPr>
              <w:t>2. Prednost cjelovite TTM strukture</w:t>
            </w:r>
            <w:r w:rsidR="1229659A" w:rsidRPr="4DCF16DC">
              <w:rPr>
                <w:rFonts w:eastAsiaTheme="minorEastAsia"/>
                <w:sz w:val="18"/>
                <w:szCs w:val="18"/>
                <w:lang w:eastAsia="hr-HR"/>
              </w:rPr>
              <w:t>:</w:t>
            </w:r>
            <w:r w:rsidRPr="4DCF16DC">
              <w:rPr>
                <w:rFonts w:eastAsiaTheme="minorEastAsia"/>
                <w:sz w:val="18"/>
                <w:szCs w:val="18"/>
                <w:lang w:eastAsia="hr-HR"/>
              </w:rPr>
              <w:t xml:space="preserve"> Intervencije dizajnirane na temelju kompletne strukture TTM-a (integrirajući sve elemente poput SOC, POC, SEI i DBL) imaju veću vjerojatnost da će potaknuti stvarnu promjenu ponašanja i smanjenje sjedilačkog načina života.</w:t>
            </w:r>
          </w:p>
          <w:p w14:paraId="02B56DD7" w14:textId="7E04D9DB" w:rsidR="6DCFD274" w:rsidRDefault="145FEF99" w:rsidP="4DCF16DC">
            <w:pPr>
              <w:spacing w:after="0" w:line="240" w:lineRule="auto"/>
              <w:rPr>
                <w:rFonts w:eastAsiaTheme="minorEastAsia"/>
                <w:sz w:val="18"/>
                <w:szCs w:val="18"/>
                <w:lang w:eastAsia="hr-HR"/>
              </w:rPr>
            </w:pPr>
            <w:r w:rsidRPr="4DCF16DC">
              <w:rPr>
                <w:rFonts w:eastAsiaTheme="minorEastAsia"/>
                <w:sz w:val="18"/>
                <w:szCs w:val="18"/>
                <w:lang w:eastAsia="hr-HR"/>
              </w:rPr>
              <w:t>3. Učinkovitost različitih tehnika promjene ponašanja</w:t>
            </w:r>
            <w:r w:rsidR="32C42755" w:rsidRPr="4DCF16DC">
              <w:rPr>
                <w:rFonts w:eastAsiaTheme="minorEastAsia"/>
                <w:sz w:val="18"/>
                <w:szCs w:val="18"/>
                <w:lang w:eastAsia="hr-HR"/>
              </w:rPr>
              <w:t>:</w:t>
            </w:r>
            <w:r w:rsidRPr="4DCF16DC">
              <w:rPr>
                <w:rFonts w:eastAsiaTheme="minorEastAsia"/>
                <w:sz w:val="18"/>
                <w:szCs w:val="18"/>
                <w:lang w:eastAsia="hr-HR"/>
              </w:rPr>
              <w:t xml:space="preserve"> Studija je identificirala jasnu podjelu u rezultatima ovisno o primijenjenim tehnikama:</w:t>
            </w:r>
          </w:p>
          <w:p w14:paraId="727DBA64" w14:textId="012F4AA9" w:rsidR="6DCFD274" w:rsidRDefault="675BE933" w:rsidP="4DCF16DC">
            <w:pPr>
              <w:spacing w:after="0" w:line="240" w:lineRule="auto"/>
              <w:rPr>
                <w:rFonts w:eastAsiaTheme="minorEastAsia"/>
                <w:sz w:val="18"/>
                <w:szCs w:val="18"/>
                <w:lang w:eastAsia="hr-HR"/>
              </w:rPr>
            </w:pPr>
            <w:r w:rsidRPr="4DCF16DC">
              <w:rPr>
                <w:rFonts w:eastAsiaTheme="minorEastAsia"/>
                <w:sz w:val="18"/>
                <w:szCs w:val="18"/>
                <w:lang w:eastAsia="hr-HR"/>
              </w:rPr>
              <w:t>• Povećanje razine kretanja: Kombinacija zdravstvenih informacija i povratnih informacija o ponašanju najučinkovitija je za napredovanje kroz faze promjene i povećanje stvarnog vremena provedenog u tjelesnoj aktivnosti.</w:t>
            </w:r>
          </w:p>
          <w:p w14:paraId="471D89A4" w14:textId="7E36F9E1" w:rsidR="6DCFD274" w:rsidRDefault="675BE933" w:rsidP="4DCF16DC">
            <w:pPr>
              <w:spacing w:after="0" w:line="240" w:lineRule="auto"/>
              <w:rPr>
                <w:rFonts w:eastAsiaTheme="minorEastAsia"/>
                <w:sz w:val="18"/>
                <w:szCs w:val="18"/>
                <w:lang w:eastAsia="hr-HR"/>
              </w:rPr>
            </w:pPr>
            <w:r w:rsidRPr="4DCF16DC">
              <w:rPr>
                <w:rFonts w:eastAsiaTheme="minorEastAsia"/>
                <w:sz w:val="18"/>
                <w:szCs w:val="18"/>
                <w:lang w:eastAsia="hr-HR"/>
              </w:rPr>
              <w:t>• Poboljšanje zdravstvenih pokazatelja: Samo intervencije koje su uključivale izravne programe tjelesne aktivnosti (vježbanje) uspjele su značajnije popraviti zdravstvene indikatore poput BMI-ja, kardiorespiratorne funkcije i razine glukoze u krvi</w:t>
            </w:r>
          </w:p>
          <w:p w14:paraId="45668CEF" w14:textId="4A7887E2" w:rsidR="5AB0C6CE" w:rsidRDefault="5AB0C6CE" w:rsidP="4DCF16DC">
            <w:pPr>
              <w:spacing w:after="0" w:line="240" w:lineRule="auto"/>
              <w:rPr>
                <w:rFonts w:eastAsiaTheme="minorEastAsia"/>
                <w:sz w:val="18"/>
                <w:szCs w:val="18"/>
                <w:lang w:eastAsia="hr-HR"/>
              </w:rPr>
            </w:pPr>
          </w:p>
        </w:tc>
      </w:tr>
      <w:tr w:rsidR="5AB0C6CE" w14:paraId="0A1B380F" w14:textId="77777777" w:rsidTr="4DCF16DC">
        <w:trPr>
          <w:trHeight w:val="300"/>
        </w:trPr>
        <w:tc>
          <w:tcPr>
            <w:tcW w:w="2837" w:type="dxa"/>
          </w:tcPr>
          <w:p w14:paraId="283C4D4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7D03FDD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6FA8339A" w14:textId="4F9DE5E7" w:rsidR="520A1A07" w:rsidRDefault="0DA47819" w:rsidP="4DCF16DC">
            <w:pPr>
              <w:spacing w:after="0" w:line="240" w:lineRule="auto"/>
              <w:rPr>
                <w:rFonts w:eastAsiaTheme="minorEastAsia"/>
                <w:sz w:val="18"/>
                <w:szCs w:val="18"/>
                <w:lang w:eastAsia="hr-HR"/>
              </w:rPr>
            </w:pPr>
            <w:r w:rsidRPr="4DCF16DC">
              <w:rPr>
                <w:rFonts w:eastAsiaTheme="minorEastAsia"/>
                <w:sz w:val="18"/>
                <w:szCs w:val="18"/>
                <w:lang w:eastAsia="hr-HR"/>
              </w:rPr>
              <w:t>Ovaj rad opisuje trans-teorijski model u svrhu povećanja TA. Intervencije koje se temelje na kompletnoj strukturi TTM-a, integrirajući sva četiri navedena elementa, imaju veću vjerojatnost da će dovesti do stvarnog povećanja razine tjelesne aktivnosti kod mladih.</w:t>
            </w:r>
          </w:p>
        </w:tc>
      </w:tr>
      <w:tr w:rsidR="5AB0C6CE" w14:paraId="23EB58A7" w14:textId="77777777" w:rsidTr="4DCF16DC">
        <w:trPr>
          <w:trHeight w:val="300"/>
        </w:trPr>
        <w:tc>
          <w:tcPr>
            <w:tcW w:w="2837" w:type="dxa"/>
          </w:tcPr>
          <w:p w14:paraId="08D4170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64094256" w14:textId="77777777" w:rsidR="5AB0C6CE" w:rsidRDefault="5AB0C6CE" w:rsidP="4DCF16DC">
            <w:pPr>
              <w:spacing w:after="0" w:line="240" w:lineRule="auto"/>
              <w:rPr>
                <w:rFonts w:eastAsiaTheme="minorEastAsia"/>
                <w:sz w:val="18"/>
                <w:szCs w:val="18"/>
                <w:lang w:eastAsia="hr-HR"/>
              </w:rPr>
            </w:pPr>
          </w:p>
        </w:tc>
      </w:tr>
    </w:tbl>
    <w:p w14:paraId="0F71BEF9" w14:textId="6397893D" w:rsidR="5AB0C6CE" w:rsidRDefault="5AB0C6CE"/>
    <w:p w14:paraId="421EEDB1" w14:textId="1DD01CF2"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5A448DD7" w14:textId="77777777" w:rsidTr="4DCF16DC">
        <w:trPr>
          <w:trHeight w:val="300"/>
        </w:trPr>
        <w:tc>
          <w:tcPr>
            <w:tcW w:w="2837" w:type="dxa"/>
          </w:tcPr>
          <w:p w14:paraId="23908194" w14:textId="5DD40E10"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25FE3007" w14:textId="158547E7" w:rsidR="7EA7ACC8" w:rsidRDefault="070D3663" w:rsidP="4DCF16DC">
            <w:pPr>
              <w:spacing w:after="0" w:line="240" w:lineRule="auto"/>
              <w:rPr>
                <w:rFonts w:eastAsiaTheme="minorEastAsia"/>
                <w:sz w:val="18"/>
                <w:szCs w:val="18"/>
              </w:rPr>
            </w:pPr>
            <w:r w:rsidRPr="4DCF16DC">
              <w:rPr>
                <w:rFonts w:eastAsiaTheme="minorEastAsia"/>
                <w:sz w:val="18"/>
                <w:szCs w:val="18"/>
              </w:rPr>
              <w:t xml:space="preserve">Kontak, J. C., Macrae, C., Caldwell, H. A. T., </w:t>
            </w:r>
            <w:r w:rsidRPr="4DCF16DC">
              <w:rPr>
                <w:rFonts w:eastAsiaTheme="minorEastAsia"/>
                <w:i/>
                <w:iCs/>
                <w:sz w:val="18"/>
                <w:szCs w:val="18"/>
              </w:rPr>
              <w:t>et al.</w:t>
            </w:r>
            <w:r w:rsidRPr="4DCF16DC">
              <w:rPr>
                <w:rFonts w:eastAsiaTheme="minorEastAsia"/>
                <w:sz w:val="18"/>
                <w:szCs w:val="18"/>
              </w:rPr>
              <w:t xml:space="preserve"> (2025). The process of student engagement in school health promotion: A scoping review. </w:t>
            </w:r>
            <w:r w:rsidRPr="4DCF16DC">
              <w:rPr>
                <w:rFonts w:eastAsiaTheme="minorEastAsia"/>
                <w:i/>
                <w:iCs/>
                <w:sz w:val="18"/>
                <w:szCs w:val="18"/>
              </w:rPr>
              <w:t>BMC Public Health, 25</w:t>
            </w:r>
            <w:r w:rsidRPr="4DCF16DC">
              <w:rPr>
                <w:rFonts w:eastAsiaTheme="minorEastAsia"/>
                <w:sz w:val="18"/>
                <w:szCs w:val="18"/>
              </w:rPr>
              <w:t xml:space="preserve">, Article 1063. </w:t>
            </w:r>
            <w:hyperlink r:id="rId23">
              <w:r w:rsidRPr="4DCF16DC">
                <w:rPr>
                  <w:rStyle w:val="Hiperveza"/>
                  <w:rFonts w:eastAsiaTheme="minorEastAsia"/>
                  <w:sz w:val="18"/>
                  <w:szCs w:val="18"/>
                </w:rPr>
                <w:t>https://doi.org/10.1186/s12889-025-22121-8</w:t>
              </w:r>
            </w:hyperlink>
          </w:p>
          <w:p w14:paraId="6ACB88F1" w14:textId="6A78545B" w:rsidR="5AB0C6CE" w:rsidRDefault="5AB0C6CE" w:rsidP="4DCF16DC">
            <w:pPr>
              <w:spacing w:after="0" w:line="240" w:lineRule="auto"/>
              <w:rPr>
                <w:rFonts w:eastAsiaTheme="minorEastAsia"/>
                <w:b/>
                <w:bCs/>
                <w:sz w:val="18"/>
                <w:szCs w:val="18"/>
                <w:lang w:eastAsia="hr-HR"/>
              </w:rPr>
            </w:pPr>
          </w:p>
        </w:tc>
      </w:tr>
      <w:tr w:rsidR="5AB0C6CE" w14:paraId="5A21C867" w14:textId="77777777" w:rsidTr="4DCF16DC">
        <w:trPr>
          <w:trHeight w:val="300"/>
        </w:trPr>
        <w:tc>
          <w:tcPr>
            <w:tcW w:w="2837" w:type="dxa"/>
          </w:tcPr>
          <w:p w14:paraId="34CF0A6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4BE30C6B" w14:textId="7042D445" w:rsidR="49A7FC17" w:rsidRDefault="35D242AC" w:rsidP="4DCF16DC">
            <w:pPr>
              <w:spacing w:after="0" w:line="240" w:lineRule="auto"/>
              <w:rPr>
                <w:rFonts w:eastAsiaTheme="minorEastAsia"/>
                <w:sz w:val="18"/>
                <w:szCs w:val="18"/>
                <w:lang w:eastAsia="hr-HR"/>
              </w:rPr>
            </w:pPr>
            <w:r w:rsidRPr="4DCF16DC">
              <w:rPr>
                <w:rFonts w:eastAsiaTheme="minorEastAsia"/>
                <w:sz w:val="18"/>
                <w:szCs w:val="18"/>
                <w:lang w:eastAsia="hr-HR"/>
              </w:rPr>
              <w:t>https://doi.org/10.1186/s12889-025-22121-8</w:t>
            </w:r>
          </w:p>
        </w:tc>
      </w:tr>
      <w:tr w:rsidR="5AB0C6CE" w14:paraId="1D94396D" w14:textId="77777777" w:rsidTr="4DCF16DC">
        <w:trPr>
          <w:trHeight w:val="300"/>
        </w:trPr>
        <w:tc>
          <w:tcPr>
            <w:tcW w:w="2837" w:type="dxa"/>
          </w:tcPr>
          <w:p w14:paraId="02D15E6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5F1BE594" w14:textId="47B3E67B" w:rsidR="1F01733A" w:rsidRDefault="3FCDCEEF" w:rsidP="4DCF16DC">
            <w:pPr>
              <w:spacing w:after="0" w:line="240" w:lineRule="auto"/>
              <w:rPr>
                <w:rFonts w:eastAsiaTheme="minorEastAsia"/>
                <w:sz w:val="18"/>
                <w:szCs w:val="18"/>
                <w:lang w:eastAsia="hr-HR"/>
              </w:rPr>
            </w:pPr>
            <w:r w:rsidRPr="4DCF16DC">
              <w:rPr>
                <w:rFonts w:eastAsiaTheme="minorEastAsia"/>
                <w:sz w:val="18"/>
                <w:szCs w:val="18"/>
                <w:lang w:eastAsia="hr-HR"/>
              </w:rPr>
              <w:t>Zdravlje i djeca (</w:t>
            </w:r>
            <w:r w:rsidR="28CD4631" w:rsidRPr="4DCF16DC">
              <w:rPr>
                <w:rFonts w:eastAsiaTheme="minorEastAsia"/>
                <w:sz w:val="18"/>
                <w:szCs w:val="18"/>
                <w:lang w:eastAsia="hr-HR"/>
              </w:rPr>
              <w:t>Co-desing)</w:t>
            </w:r>
          </w:p>
        </w:tc>
      </w:tr>
      <w:tr w:rsidR="5AB0C6CE" w14:paraId="70158B09" w14:textId="77777777" w:rsidTr="4DCF16DC">
        <w:trPr>
          <w:trHeight w:val="300"/>
        </w:trPr>
        <w:tc>
          <w:tcPr>
            <w:tcW w:w="2837" w:type="dxa"/>
          </w:tcPr>
          <w:p w14:paraId="6DF1D060"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3D7D49B2" w14:textId="5CFEC813" w:rsidR="2AB6C124" w:rsidRDefault="1AA7DE23" w:rsidP="4DCF16DC">
            <w:pPr>
              <w:spacing w:after="0" w:line="240" w:lineRule="auto"/>
              <w:rPr>
                <w:rFonts w:eastAsiaTheme="minorEastAsia"/>
                <w:sz w:val="18"/>
                <w:szCs w:val="18"/>
                <w:lang w:eastAsia="hr-HR"/>
              </w:rPr>
            </w:pPr>
            <w:r w:rsidRPr="4DCF16DC">
              <w:rPr>
                <w:rFonts w:eastAsiaTheme="minorEastAsia"/>
                <w:sz w:val="18"/>
                <w:szCs w:val="18"/>
                <w:lang w:eastAsia="hr-HR"/>
              </w:rPr>
              <w:t>Maja Lagator</w:t>
            </w:r>
          </w:p>
        </w:tc>
      </w:tr>
      <w:tr w:rsidR="5AB0C6CE" w14:paraId="2099FD1A" w14:textId="77777777" w:rsidTr="4DCF16DC">
        <w:trPr>
          <w:trHeight w:val="300"/>
        </w:trPr>
        <w:tc>
          <w:tcPr>
            <w:tcW w:w="2837" w:type="dxa"/>
          </w:tcPr>
          <w:p w14:paraId="4C9BC461"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C36179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1ECB596"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3FF725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0714032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2517A89B" w14:textId="0EE31CBF" w:rsidR="65A6F9C9" w:rsidRDefault="3258DD71"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3</w:t>
            </w:r>
          </w:p>
        </w:tc>
      </w:tr>
      <w:tr w:rsidR="5AB0C6CE" w14:paraId="103945CD" w14:textId="77777777" w:rsidTr="4DCF16DC">
        <w:trPr>
          <w:trHeight w:val="300"/>
        </w:trPr>
        <w:tc>
          <w:tcPr>
            <w:tcW w:w="2837" w:type="dxa"/>
          </w:tcPr>
          <w:p w14:paraId="5D5D3A9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03B2253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6D02AF0" w14:textId="222B9331" w:rsidR="6BD20C39" w:rsidRDefault="0A0523C4" w:rsidP="4DCF16DC">
            <w:pPr>
              <w:spacing w:after="0" w:line="240" w:lineRule="auto"/>
              <w:rPr>
                <w:rFonts w:eastAsiaTheme="minorEastAsia"/>
                <w:sz w:val="18"/>
                <w:szCs w:val="18"/>
                <w:lang w:eastAsia="hr-HR"/>
              </w:rPr>
            </w:pPr>
            <w:r w:rsidRPr="4DCF16DC">
              <w:rPr>
                <w:rFonts w:eastAsiaTheme="minorEastAsia"/>
                <w:sz w:val="18"/>
                <w:szCs w:val="18"/>
                <w:lang w:eastAsia="hr-HR"/>
              </w:rPr>
              <w:t>BackgroundHealth Promoting Schools (HPS) is a whole school model that strengthens and maintains a healthy school environment. While a key component of HPS is the engagement of students, there is little known about the strategies for, facilitators of, and barriers to, student engagement. The purpose of this scoping review was to summarize and characterize the evidence on the process of student engagement in school health promotion, with a focus on whole school models like HPS.MethodsThis scoping review followed the Joanna Briggs Institute guidelines and the Arksey and O'Malley scoping review framework. The Preferred Reporting Items for Systematic Reviews and Meta-Analyses extension for scoping reviews guided reporting. Eligibility included sources examining the process of student engagement in school health promotion for children and youth (ages 5-19) in any country, who attended a private or public school. Both published and unpublished sources were included. Databases searched were: CINAHL, ERIC, MEDLINE, Scopus, and Google Scholar. Relevant organisational websites and sources identified by experts were also reviewed. Two independent reviewers screened the title, abstract, and full text of the sources. Descriptive analysis was conducted for quantitative data, and content analysis was employed for qualitative data.Results1740 sources were screened, 133 citations were eligible for full text review and a total of 50 sources were included: 38 peer-reviewed publications, 7 grey literature sources, 2 peer-reviewed publications from reference-checking and 3 sources recommended by experts. The majority of articles reported on primary research (n = 34), employed qualitative methods (n = 28) and over half of all sources were published from European institutions/organizations (n = 26). Process strategies for student engagement predominantly related to participatory mechanisms including reflection and visioning, determining priorities and action-oriented learning. A wide range of intersecting facilitators and barriers were identified, with school structures largely acting as a barrier and adult approaches to engagement being a facilitator.ConclusionThis scoping review described the strategies, facilitators and barriers involving the process of student engagement in school health promotion. The results can inform the development and implementation of future student engagement strategies to strengthen school health promotion actions.</w:t>
            </w:r>
          </w:p>
        </w:tc>
      </w:tr>
      <w:tr w:rsidR="5AB0C6CE" w14:paraId="67350CC0" w14:textId="77777777" w:rsidTr="4DCF16DC">
        <w:trPr>
          <w:trHeight w:val="300"/>
        </w:trPr>
        <w:tc>
          <w:tcPr>
            <w:tcW w:w="2837" w:type="dxa"/>
          </w:tcPr>
          <w:p w14:paraId="515AED1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5F24EB26" w14:textId="0D38DE29" w:rsidR="3639A858" w:rsidRDefault="5561524E" w:rsidP="4DCF16DC">
            <w:pPr>
              <w:spacing w:after="0" w:line="240" w:lineRule="auto"/>
              <w:rPr>
                <w:rFonts w:eastAsiaTheme="minorEastAsia"/>
                <w:sz w:val="18"/>
                <w:szCs w:val="18"/>
                <w:lang w:eastAsia="hr-HR"/>
              </w:rPr>
            </w:pPr>
            <w:r w:rsidRPr="4DCF16DC">
              <w:rPr>
                <w:rFonts w:eastAsiaTheme="minorEastAsia"/>
                <w:sz w:val="18"/>
                <w:szCs w:val="18"/>
                <w:lang w:eastAsia="hr-HR"/>
              </w:rPr>
              <w:t>Health promotion, School health, Youth engagement, Participatory</w:t>
            </w:r>
          </w:p>
        </w:tc>
      </w:tr>
      <w:tr w:rsidR="5AB0C6CE" w14:paraId="25E3AD8C" w14:textId="77777777" w:rsidTr="4DCF16DC">
        <w:trPr>
          <w:trHeight w:val="300"/>
        </w:trPr>
        <w:tc>
          <w:tcPr>
            <w:tcW w:w="2837" w:type="dxa"/>
          </w:tcPr>
          <w:p w14:paraId="3F36DB8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1C14BCE1" w14:textId="6EC2D87E" w:rsidR="5BE0A72D" w:rsidRDefault="2D423BC2" w:rsidP="4DCF16DC">
            <w:pPr>
              <w:spacing w:after="0" w:line="240" w:lineRule="auto"/>
              <w:rPr>
                <w:rFonts w:eastAsiaTheme="minorEastAsia"/>
                <w:sz w:val="18"/>
                <w:szCs w:val="18"/>
                <w:lang w:eastAsia="hr-HR"/>
              </w:rPr>
            </w:pPr>
            <w:r w:rsidRPr="4DCF16DC">
              <w:rPr>
                <w:rFonts w:eastAsiaTheme="minorEastAsia"/>
                <w:sz w:val="18"/>
                <w:szCs w:val="18"/>
                <w:lang w:eastAsia="hr-HR"/>
              </w:rPr>
              <w:t>pregled literature o procesu uključivanja učenika u aktivnosti promicanja zdravlja unutar škola, s posebnim naglaskom na modele poput Škola koje promiču zdravlje (HPS). Autori su analizirali 50 izvora objavljenih između 1986. i 2023. godine, pokrivajući populaciju djece i mladih od 5 do 19 godina</w:t>
            </w:r>
          </w:p>
        </w:tc>
      </w:tr>
      <w:tr w:rsidR="5AB0C6CE" w14:paraId="2CC22DA2" w14:textId="77777777" w:rsidTr="4DCF16DC">
        <w:trPr>
          <w:trHeight w:val="300"/>
        </w:trPr>
        <w:tc>
          <w:tcPr>
            <w:tcW w:w="2837" w:type="dxa"/>
          </w:tcPr>
          <w:p w14:paraId="25E4B38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243A4A4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49D9CB8C" w14:textId="6B3E4565" w:rsidR="162C0EAD" w:rsidRDefault="0D0D4E97" w:rsidP="4DCF16DC">
            <w:pPr>
              <w:spacing w:after="0" w:line="240" w:lineRule="auto"/>
              <w:rPr>
                <w:rFonts w:eastAsiaTheme="minorEastAsia"/>
                <w:sz w:val="18"/>
                <w:szCs w:val="18"/>
                <w:lang w:eastAsia="hr-HR"/>
              </w:rPr>
            </w:pPr>
            <w:r w:rsidRPr="4DCF16DC">
              <w:rPr>
                <w:rFonts w:eastAsiaTheme="minorEastAsia"/>
                <w:sz w:val="18"/>
                <w:szCs w:val="18"/>
                <w:lang w:eastAsia="hr-HR"/>
              </w:rPr>
              <w:t>1. Strategije za angažman učenika</w:t>
            </w:r>
            <w:r w:rsidR="44421C5E" w:rsidRPr="4DCF16DC">
              <w:rPr>
                <w:rFonts w:eastAsiaTheme="minorEastAsia"/>
                <w:sz w:val="18"/>
                <w:szCs w:val="18"/>
                <w:lang w:eastAsia="hr-HR"/>
              </w:rPr>
              <w:t>:</w:t>
            </w:r>
            <w:r w:rsidRPr="4DCF16DC">
              <w:rPr>
                <w:rFonts w:eastAsiaTheme="minorEastAsia"/>
                <w:sz w:val="18"/>
                <w:szCs w:val="18"/>
                <w:lang w:eastAsia="hr-HR"/>
              </w:rPr>
              <w:t xml:space="preserve"> Izvori identificiraju pet glavnih strategija koje se koriste za smisleno uključivanje učenika u procese promicanja zdravlja:</w:t>
            </w:r>
          </w:p>
          <w:p w14:paraId="32E7A104" w14:textId="2F17B171"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Zajednički razvoj (Co-development): Suradnja i zajedničko donošenje odluka između učenika i odraslih (nastavnika, medicinskih sestara, administratora) kroz formalne ili neformalne odbore.</w:t>
            </w:r>
          </w:p>
          <w:p w14:paraId="384B2A7C" w14:textId="42CD4E7D"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Promišljanje i vizioniranje: Pružanje prostora i vremena učenicima da razviju vlastite koncepte zdravlja kroz dijalog, pisanje ili metode poput Photovoice-a (fotografiranje okruženja).</w:t>
            </w:r>
          </w:p>
          <w:p w14:paraId="7C9EA611" w14:textId="532ADB6E"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Određivanje prioriteta: Učenici sami procjenjuju potrebe škole i zajednice koristeći ankete ili intervjue s vršnjacima, što povećava njihov osjećaj vlasništva nad projektima.</w:t>
            </w:r>
          </w:p>
          <w:p w14:paraId="3D320B6E" w14:textId="482144B9"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Učenje usmjereno na djelovanje (Action-oriented learning): Povezivanje vizija učenika sa stvarnim promjenama u školskom okruženju, poput zagovaranja novih politika ili implementacije programa.</w:t>
            </w:r>
          </w:p>
          <w:p w14:paraId="6EA759EF" w14:textId="2A0A35CE"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Usklađenost s kurikulumom: Strateško integriranje zdravstvenih inicijativa u postojeće predmete (npr. matematika ili jezici).</w:t>
            </w:r>
          </w:p>
          <w:p w14:paraId="7A93FE3D" w14:textId="3ABBDA03"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Često korišteni model u ovim procesima je IVAC (istraživanje, vizija, akcija, promjena), koji vodi mlade kroz proces od uočavanja problema do ostvarivanja mjerljive promjene.</w:t>
            </w:r>
          </w:p>
          <w:p w14:paraId="077A2A4E" w14:textId="6B495F1A"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2. Facilitatori i barijere (Socio-ekološki model) Čimbenici koji utječu na angažman podijeljeni su na tri razine:</w:t>
            </w:r>
          </w:p>
          <w:p w14:paraId="4281FDE7" w14:textId="0D69C26D"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Individualna razina: Motivacija učenika i osjećaj da se njihovo mišljenje shvaća ozbiljno djeluju kao poticaji, dok su barijere niska razina interesa ili negativne percepcije odraslih o sposobnostima učenika.</w:t>
            </w:r>
          </w:p>
          <w:p w14:paraId="73AB2139" w14:textId="583A3E5E"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Interpersonalna razina: Odrasli koji nastupaju kao fasilitatori i mentori (umjesto autoritarnih figura) ključni su za uspjeh. Autoritarni pristup i nedostatak jasnih uloga u grupama otežavaju suradnju.</w:t>
            </w:r>
          </w:p>
          <w:p w14:paraId="790E2288" w14:textId="729D6D6E"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 Sustavna razina: Demokratski etos škole i formalne politike koje podupiru glas učenika olakšavaju angažman. Nasuprot tome, tradicionalne školske strukture, pritisak akademskih postignuća i manjak vremena glavne su sustavne prepreke.</w:t>
            </w:r>
          </w:p>
          <w:p w14:paraId="0CE2747B" w14:textId="154BCC2E" w:rsidR="162C0EAD" w:rsidRDefault="2EA4C84D" w:rsidP="4DCF16DC">
            <w:pPr>
              <w:spacing w:after="0" w:line="240" w:lineRule="auto"/>
              <w:rPr>
                <w:rFonts w:eastAsiaTheme="minorEastAsia"/>
                <w:sz w:val="18"/>
                <w:szCs w:val="18"/>
                <w:lang w:eastAsia="hr-HR"/>
              </w:rPr>
            </w:pPr>
            <w:r w:rsidRPr="4DCF16DC">
              <w:rPr>
                <w:rFonts w:eastAsiaTheme="minorEastAsia"/>
                <w:sz w:val="18"/>
                <w:szCs w:val="18"/>
                <w:lang w:eastAsia="hr-HR"/>
              </w:rPr>
              <w:t>3. Oblici angažmana Većina analiziranih studija (86%) klasificirana je kao Razina 3 ili viša prema ljestvici sudjelovanja, što znači da odrasli ili učenici predlažu ideje, ali se dijalog i odluke donose zajednički</w:t>
            </w:r>
          </w:p>
          <w:p w14:paraId="3E58C469" w14:textId="30D9F047" w:rsidR="5AB0C6CE" w:rsidRDefault="5AB0C6CE" w:rsidP="4DCF16DC">
            <w:pPr>
              <w:spacing w:after="0" w:line="240" w:lineRule="auto"/>
              <w:rPr>
                <w:rFonts w:eastAsiaTheme="minorEastAsia"/>
                <w:sz w:val="18"/>
                <w:szCs w:val="18"/>
                <w:lang w:eastAsia="hr-HR"/>
              </w:rPr>
            </w:pPr>
          </w:p>
        </w:tc>
      </w:tr>
      <w:tr w:rsidR="5AB0C6CE" w14:paraId="227FB2F9" w14:textId="77777777" w:rsidTr="4DCF16DC">
        <w:trPr>
          <w:trHeight w:val="300"/>
        </w:trPr>
        <w:tc>
          <w:tcPr>
            <w:tcW w:w="2837" w:type="dxa"/>
          </w:tcPr>
          <w:p w14:paraId="4B88143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263AFCC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D54C9F5" w14:textId="52F2B022" w:rsidR="24700115" w:rsidRDefault="5A442BB3" w:rsidP="4DCF16DC">
            <w:pPr>
              <w:spacing w:after="0" w:line="240" w:lineRule="auto"/>
              <w:rPr>
                <w:rFonts w:eastAsiaTheme="minorEastAsia"/>
                <w:sz w:val="18"/>
                <w:szCs w:val="18"/>
                <w:lang w:eastAsia="hr-HR"/>
              </w:rPr>
            </w:pPr>
            <w:r w:rsidRPr="4DCF16DC">
              <w:rPr>
                <w:rFonts w:eastAsiaTheme="minorEastAsia"/>
                <w:sz w:val="18"/>
                <w:szCs w:val="18"/>
                <w:lang w:eastAsia="hr-HR"/>
              </w:rPr>
              <w:t>I</w:t>
            </w:r>
            <w:r w:rsidR="0AD40F18" w:rsidRPr="4DCF16DC">
              <w:rPr>
                <w:rFonts w:eastAsiaTheme="minorEastAsia"/>
                <w:sz w:val="18"/>
                <w:szCs w:val="18"/>
                <w:lang w:eastAsia="hr-HR"/>
              </w:rPr>
              <w:t>zvori naglašavaju da je za uspješno promicanje zdravlja u školama nužno tretirati učenike kao aktivne sudionike, a ne samo kao primatelje informacija.</w:t>
            </w:r>
          </w:p>
          <w:p w14:paraId="42683A36" w14:textId="5FFB04A0" w:rsidR="7F7BA937" w:rsidRDefault="7397428E" w:rsidP="4DCF16DC">
            <w:pPr>
              <w:spacing w:after="0" w:line="240" w:lineRule="auto"/>
              <w:rPr>
                <w:rFonts w:eastAsiaTheme="minorEastAsia"/>
                <w:sz w:val="18"/>
                <w:szCs w:val="18"/>
                <w:lang w:eastAsia="hr-HR"/>
              </w:rPr>
            </w:pPr>
            <w:r w:rsidRPr="4DCF16DC">
              <w:rPr>
                <w:rFonts w:eastAsiaTheme="minorEastAsia"/>
                <w:sz w:val="18"/>
                <w:szCs w:val="18"/>
                <w:lang w:eastAsia="hr-HR"/>
              </w:rPr>
              <w:t>Participativni pristupi mogu povećati motivaciju i učinkovitost intervencija usmjerenih na poboljšanje tjelesnog i mentalnog zdravlja mladih.</w:t>
            </w:r>
          </w:p>
        </w:tc>
      </w:tr>
      <w:tr w:rsidR="5AB0C6CE" w14:paraId="479ADE26" w14:textId="77777777" w:rsidTr="4DCF16DC">
        <w:trPr>
          <w:trHeight w:val="300"/>
        </w:trPr>
        <w:tc>
          <w:tcPr>
            <w:tcW w:w="2837" w:type="dxa"/>
          </w:tcPr>
          <w:p w14:paraId="0C99A93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0394C858" w14:textId="77777777" w:rsidR="5AB0C6CE" w:rsidRDefault="5AB0C6CE" w:rsidP="4DCF16DC">
            <w:pPr>
              <w:spacing w:after="0" w:line="240" w:lineRule="auto"/>
              <w:rPr>
                <w:rFonts w:eastAsiaTheme="minorEastAsia"/>
                <w:sz w:val="18"/>
                <w:szCs w:val="18"/>
                <w:lang w:eastAsia="hr-HR"/>
              </w:rPr>
            </w:pPr>
          </w:p>
        </w:tc>
      </w:tr>
    </w:tbl>
    <w:p w14:paraId="20D71D2F" w14:textId="5B3B1661" w:rsidR="5AB0C6CE" w:rsidRDefault="5AB0C6CE"/>
    <w:p w14:paraId="622E5569" w14:textId="4193826D"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2EDC0828" w14:textId="77777777" w:rsidTr="4DCF16DC">
        <w:trPr>
          <w:trHeight w:val="300"/>
        </w:trPr>
        <w:tc>
          <w:tcPr>
            <w:tcW w:w="2837" w:type="dxa"/>
          </w:tcPr>
          <w:p w14:paraId="68BBBCBB" w14:textId="6961AEA8"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0C22F8D6" w14:textId="2F94D243" w:rsidR="635FDC60" w:rsidRDefault="635FDC60" w:rsidP="4DCF16DC">
            <w:pPr>
              <w:spacing w:after="0" w:line="240" w:lineRule="auto"/>
              <w:rPr>
                <w:rFonts w:eastAsiaTheme="minorEastAsia"/>
                <w:sz w:val="18"/>
                <w:szCs w:val="18"/>
                <w:lang w:val="en-US"/>
              </w:rPr>
            </w:pPr>
            <w:r w:rsidRPr="4DCF16DC">
              <w:rPr>
                <w:rFonts w:eastAsiaTheme="minorEastAsia"/>
                <w:sz w:val="18"/>
                <w:szCs w:val="18"/>
                <w:lang w:val="en-US"/>
              </w:rPr>
              <w:t xml:space="preserve">Trask, S., D’Souza, E. N., Pi, S., Tu’akoi, S., &amp; Bay, J. L. (2024). Promoting school-based learning about nutrition and physical activity using Photovoice: A systematic review. </w:t>
            </w:r>
            <w:r w:rsidRPr="4DCF16DC">
              <w:rPr>
                <w:rFonts w:eastAsiaTheme="minorEastAsia"/>
                <w:i/>
                <w:iCs/>
                <w:sz w:val="18"/>
                <w:szCs w:val="18"/>
                <w:lang w:val="en-US"/>
              </w:rPr>
              <w:t>Health Education Journal, 83</w:t>
            </w:r>
            <w:r w:rsidRPr="4DCF16DC">
              <w:rPr>
                <w:rFonts w:eastAsiaTheme="minorEastAsia"/>
                <w:sz w:val="18"/>
                <w:szCs w:val="18"/>
                <w:lang w:val="en-US"/>
              </w:rPr>
              <w:t xml:space="preserve">(2), 123–136. </w:t>
            </w:r>
            <w:hyperlink r:id="rId24">
              <w:r w:rsidRPr="4DCF16DC">
                <w:rPr>
                  <w:rStyle w:val="Hiperveza"/>
                  <w:rFonts w:eastAsiaTheme="minorEastAsia"/>
                  <w:sz w:val="18"/>
                  <w:szCs w:val="18"/>
                  <w:lang w:val="en-US"/>
                </w:rPr>
                <w:t>https://doi.org/10.1177/00178969231222542</w:t>
              </w:r>
            </w:hyperlink>
          </w:p>
          <w:p w14:paraId="091D7AB9" w14:textId="01773C17" w:rsidR="5AB0C6CE" w:rsidRDefault="5AB0C6CE" w:rsidP="4DCF16DC">
            <w:pPr>
              <w:spacing w:after="0" w:line="240" w:lineRule="auto"/>
              <w:rPr>
                <w:rFonts w:eastAsiaTheme="minorEastAsia"/>
                <w:b/>
                <w:bCs/>
                <w:sz w:val="18"/>
                <w:szCs w:val="18"/>
                <w:lang w:eastAsia="hr-HR"/>
              </w:rPr>
            </w:pPr>
          </w:p>
        </w:tc>
      </w:tr>
      <w:tr w:rsidR="5AB0C6CE" w14:paraId="47A721C2" w14:textId="77777777" w:rsidTr="4DCF16DC">
        <w:trPr>
          <w:trHeight w:val="300"/>
        </w:trPr>
        <w:tc>
          <w:tcPr>
            <w:tcW w:w="2837" w:type="dxa"/>
          </w:tcPr>
          <w:p w14:paraId="2D4766E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1663D5EB" w14:textId="1FE14CE4" w:rsidR="1EE430D9" w:rsidRDefault="4642FEEA" w:rsidP="4DCF16DC">
            <w:pPr>
              <w:spacing w:after="0" w:line="240" w:lineRule="auto"/>
              <w:rPr>
                <w:rFonts w:eastAsiaTheme="minorEastAsia"/>
                <w:sz w:val="18"/>
                <w:szCs w:val="18"/>
                <w:lang w:eastAsia="hr-HR"/>
              </w:rPr>
            </w:pPr>
            <w:r w:rsidRPr="4DCF16DC">
              <w:rPr>
                <w:rFonts w:eastAsiaTheme="minorEastAsia"/>
                <w:sz w:val="18"/>
                <w:szCs w:val="18"/>
                <w:lang w:eastAsia="hr-HR"/>
              </w:rPr>
              <w:t>https://doi.org/10.1177/00178969231222542</w:t>
            </w:r>
          </w:p>
        </w:tc>
      </w:tr>
      <w:tr w:rsidR="5AB0C6CE" w14:paraId="1DEDD91A" w14:textId="77777777" w:rsidTr="4DCF16DC">
        <w:trPr>
          <w:trHeight w:val="300"/>
        </w:trPr>
        <w:tc>
          <w:tcPr>
            <w:tcW w:w="2837" w:type="dxa"/>
          </w:tcPr>
          <w:p w14:paraId="6E751D1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113536E8" w14:textId="6F180E90" w:rsidR="4837266E" w:rsidRDefault="16AE50FD" w:rsidP="4DCF16DC">
            <w:pPr>
              <w:spacing w:after="0" w:line="240" w:lineRule="auto"/>
              <w:rPr>
                <w:rFonts w:eastAsiaTheme="minorEastAsia"/>
                <w:sz w:val="18"/>
                <w:szCs w:val="18"/>
                <w:lang w:eastAsia="hr-HR"/>
              </w:rPr>
            </w:pPr>
            <w:r w:rsidRPr="4DCF16DC">
              <w:rPr>
                <w:rFonts w:eastAsiaTheme="minorEastAsia"/>
                <w:sz w:val="18"/>
                <w:szCs w:val="18"/>
                <w:lang w:eastAsia="hr-HR"/>
              </w:rPr>
              <w:t>Tjelesna aktivnost (co-design)</w:t>
            </w:r>
          </w:p>
        </w:tc>
      </w:tr>
      <w:tr w:rsidR="5AB0C6CE" w14:paraId="092511E8" w14:textId="77777777" w:rsidTr="4DCF16DC">
        <w:trPr>
          <w:trHeight w:val="300"/>
        </w:trPr>
        <w:tc>
          <w:tcPr>
            <w:tcW w:w="2837" w:type="dxa"/>
          </w:tcPr>
          <w:p w14:paraId="3C83A5B1"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5A290407" w14:textId="7A4BB1D1" w:rsidR="6836DF70" w:rsidRDefault="496D1230" w:rsidP="4DCF16DC">
            <w:pPr>
              <w:spacing w:after="0" w:line="240" w:lineRule="auto"/>
              <w:rPr>
                <w:rFonts w:eastAsiaTheme="minorEastAsia"/>
                <w:sz w:val="18"/>
                <w:szCs w:val="18"/>
                <w:lang w:eastAsia="hr-HR"/>
              </w:rPr>
            </w:pPr>
            <w:r w:rsidRPr="4DCF16DC">
              <w:rPr>
                <w:rFonts w:eastAsiaTheme="minorEastAsia"/>
                <w:sz w:val="18"/>
                <w:szCs w:val="18"/>
                <w:lang w:eastAsia="hr-HR"/>
              </w:rPr>
              <w:t>Maja Lagator</w:t>
            </w:r>
          </w:p>
        </w:tc>
      </w:tr>
      <w:tr w:rsidR="5AB0C6CE" w14:paraId="726C0E55" w14:textId="77777777" w:rsidTr="4DCF16DC">
        <w:trPr>
          <w:trHeight w:val="300"/>
        </w:trPr>
        <w:tc>
          <w:tcPr>
            <w:tcW w:w="2837" w:type="dxa"/>
          </w:tcPr>
          <w:p w14:paraId="2C24307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2ADAF29D"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1D1A6090"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519E780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0F1C8D4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577B2C7C" w14:textId="2E6F1B84" w:rsidR="63790EC3" w:rsidRDefault="4F646787"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5AB0C6CE" w14:paraId="49F2BADD" w14:textId="77777777" w:rsidTr="4DCF16DC">
        <w:trPr>
          <w:trHeight w:val="300"/>
        </w:trPr>
        <w:tc>
          <w:tcPr>
            <w:tcW w:w="2837" w:type="dxa"/>
          </w:tcPr>
          <w:p w14:paraId="4E171A8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7094DAC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D371E68" w14:textId="17E9B98A"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Objective:</w:t>
            </w:r>
          </w:p>
          <w:p w14:paraId="689A886C" w14:textId="6905C183" w:rsidR="73F4A09E" w:rsidRDefault="14B21AA8" w:rsidP="4DCF16DC">
            <w:pPr>
              <w:spacing w:after="0" w:line="240" w:lineRule="auto"/>
              <w:rPr>
                <w:rFonts w:eastAsiaTheme="minorEastAsia"/>
                <w:sz w:val="18"/>
                <w:szCs w:val="18"/>
                <w:lang w:val="en-US" w:eastAsia="hr-HR"/>
              </w:rPr>
            </w:pPr>
            <w:r w:rsidRPr="4DCF16DC">
              <w:rPr>
                <w:rFonts w:eastAsiaTheme="minorEastAsia"/>
                <w:sz w:val="18"/>
                <w:szCs w:val="18"/>
                <w:lang w:val="en-US" w:eastAsia="hr-HR"/>
              </w:rPr>
              <w:t>Photovoice as a participatory research method seeks to capture and share participants’ perspectives and experiences. It has been widely used in school settings to prioritise student voice in health research. Photovoice also presents opportunities for health education. There is limited synthesis on school-based Photovoice focused on nutrition and physical activity (PA). This systematic review examined the use of school-based Photovoice in relation to nutrition and PA for 10- to 18-year-olds. The research questions explored were twofold: what Photovoice approaches and implementation processes have been used in schools with respect to nutrition and PA; and what were the student learning outcomes?</w:t>
            </w:r>
          </w:p>
          <w:p w14:paraId="0F1B50EF" w14:textId="3DB54A03"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Methods:</w:t>
            </w:r>
          </w:p>
          <w:p w14:paraId="3D7B5294" w14:textId="3D0BD4CC"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Six electronic databases were searched: MedLine, PsycInfo, EMBASE, ProQuest Education Journal, Cochrane Central and ERIC. The Participant, Intervention, Comparison, Outcome and Study (PICOS) framework was used to specify inclusion/exclusion criteria. Nineteen articles were selected from the search results of 2,305 articles based on fit with the established criteria. Iterative inductive thematic analysis was used to analyse the data with a focus on (1) approaches and implementation, and (2) student learning outcomes.</w:t>
            </w:r>
          </w:p>
          <w:p w14:paraId="5B0BFD0A" w14:textId="5FF38E84"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Results:</w:t>
            </w:r>
          </w:p>
          <w:p w14:paraId="60C86727" w14:textId="61757FE5"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Nineteen studies were included in the review. Themes related to approaches and implementation were the importance in introductory sessions; processes for meaning-making; student-led community engagement and health promotion; and learning from challenges and limitations. Themes related to student learning outcomes included critical awareness of nutrition and PA environmental influences; capability development; and agency and empowerment.</w:t>
            </w:r>
          </w:p>
          <w:p w14:paraId="6FFD1FFC" w14:textId="26019C11"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Conclusion:</w:t>
            </w:r>
          </w:p>
          <w:p w14:paraId="279760E5" w14:textId="383CE510" w:rsidR="73F4A09E" w:rsidRDefault="14B21AA8" w:rsidP="4DCF16DC">
            <w:pPr>
              <w:spacing w:after="0" w:line="240" w:lineRule="auto"/>
              <w:rPr>
                <w:rFonts w:eastAsiaTheme="minorEastAsia"/>
                <w:sz w:val="18"/>
                <w:szCs w:val="18"/>
                <w:lang w:eastAsia="hr-HR"/>
              </w:rPr>
            </w:pPr>
            <w:r w:rsidRPr="4DCF16DC">
              <w:rPr>
                <w:rFonts w:eastAsiaTheme="minorEastAsia"/>
                <w:sz w:val="18"/>
                <w:szCs w:val="18"/>
                <w:lang w:eastAsia="hr-HR"/>
              </w:rPr>
              <w:t>School-based Photovoice benefits health research by generating data with a focus on student voice. An under-valued and under-reported benefit relates to student learning outcomes, supporting the potential for healthy behaviour change. Multisectoral education and health research should value both types of goals. Photovoice can be used as a curriculum-linked pedagogical tool to add value to the pursuit of educational goals in school.</w:t>
            </w:r>
          </w:p>
          <w:p w14:paraId="485EC7AA" w14:textId="1A229FEE" w:rsidR="5AB0C6CE" w:rsidRDefault="5AB0C6CE" w:rsidP="4DCF16DC">
            <w:pPr>
              <w:spacing w:after="0" w:line="240" w:lineRule="auto"/>
              <w:rPr>
                <w:rFonts w:eastAsiaTheme="minorEastAsia"/>
                <w:sz w:val="18"/>
                <w:szCs w:val="18"/>
                <w:lang w:eastAsia="hr-HR"/>
              </w:rPr>
            </w:pPr>
          </w:p>
        </w:tc>
      </w:tr>
      <w:tr w:rsidR="5AB0C6CE" w14:paraId="775E706A" w14:textId="77777777" w:rsidTr="4DCF16DC">
        <w:trPr>
          <w:trHeight w:val="300"/>
        </w:trPr>
        <w:tc>
          <w:tcPr>
            <w:tcW w:w="2837" w:type="dxa"/>
          </w:tcPr>
          <w:p w14:paraId="44B2F17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7A31143C" w14:textId="249C6611" w:rsidR="28F6C214" w:rsidRDefault="1FF0B466" w:rsidP="4DCF16DC">
            <w:pPr>
              <w:spacing w:after="0" w:line="240" w:lineRule="auto"/>
              <w:rPr>
                <w:rFonts w:eastAsiaTheme="minorEastAsia"/>
                <w:sz w:val="18"/>
                <w:szCs w:val="18"/>
                <w:lang w:eastAsia="hr-HR"/>
              </w:rPr>
            </w:pPr>
            <w:r w:rsidRPr="4DCF16DC">
              <w:rPr>
                <w:rFonts w:eastAsiaTheme="minorEastAsia"/>
                <w:sz w:val="18"/>
                <w:szCs w:val="18"/>
                <w:lang w:eastAsia="hr-HR"/>
              </w:rPr>
              <w:t>Curriculum; health education; nutrition; Photovoice; physical activity; school-based learning</w:t>
            </w:r>
          </w:p>
        </w:tc>
      </w:tr>
      <w:tr w:rsidR="5AB0C6CE" w14:paraId="662A1F0D" w14:textId="77777777" w:rsidTr="4DCF16DC">
        <w:trPr>
          <w:trHeight w:val="300"/>
        </w:trPr>
        <w:tc>
          <w:tcPr>
            <w:tcW w:w="2837" w:type="dxa"/>
          </w:tcPr>
          <w:p w14:paraId="6C564296"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3B7097FF" w14:textId="0DF5FC3B" w:rsidR="1D6FF0C9" w:rsidRDefault="16A945C4" w:rsidP="4DCF16DC">
            <w:pPr>
              <w:spacing w:after="0" w:line="240" w:lineRule="auto"/>
              <w:rPr>
                <w:rFonts w:eastAsiaTheme="minorEastAsia"/>
                <w:sz w:val="18"/>
                <w:szCs w:val="18"/>
                <w:lang w:eastAsia="hr-HR"/>
              </w:rPr>
            </w:pPr>
            <w:r w:rsidRPr="4DCF16DC">
              <w:rPr>
                <w:rFonts w:eastAsiaTheme="minorEastAsia"/>
                <w:sz w:val="18"/>
                <w:szCs w:val="18"/>
                <w:lang w:eastAsia="hr-HR"/>
              </w:rPr>
              <w:t>Sustavni pregled primjene metode Photovoice u školskom okruženju, fokusirajući se na teme prehrane i tjelesne aktivnosti kod mladih u dobi od 10 do 18 godina. Autori su analizirali 19 studija kako bi istražili načine implementacije ove metode i njezine učinke na ishode učenja kod učenika.</w:t>
            </w:r>
          </w:p>
          <w:p w14:paraId="5FCB16E2" w14:textId="5DEEE9A5" w:rsidR="1D6FF0C9" w:rsidRDefault="16A945C4" w:rsidP="4DCF16DC">
            <w:pPr>
              <w:spacing w:after="0" w:line="240" w:lineRule="auto"/>
              <w:rPr>
                <w:rFonts w:eastAsiaTheme="minorEastAsia"/>
                <w:sz w:val="18"/>
                <w:szCs w:val="18"/>
                <w:lang w:eastAsia="hr-HR"/>
              </w:rPr>
            </w:pPr>
            <w:r w:rsidRPr="4DCF16DC">
              <w:rPr>
                <w:rFonts w:eastAsiaTheme="minorEastAsia"/>
                <w:sz w:val="18"/>
                <w:szCs w:val="18"/>
                <w:lang w:eastAsia="hr-HR"/>
              </w:rPr>
              <w:t>Photovoice je participativna istraživačka metoda u kojoj sudionici koriste fotografije kako bi zabilježili i podijelili svoja iskustva i perspektive, nakon čega slijedi zajednička rasprava i interpretacija značenja tih slika.</w:t>
            </w:r>
          </w:p>
          <w:p w14:paraId="145D8B9B" w14:textId="47A31AA3" w:rsidR="5AB0C6CE" w:rsidRDefault="5AB0C6CE" w:rsidP="4DCF16DC">
            <w:pPr>
              <w:spacing w:after="0" w:line="240" w:lineRule="auto"/>
              <w:rPr>
                <w:rFonts w:eastAsiaTheme="minorEastAsia"/>
                <w:sz w:val="18"/>
                <w:szCs w:val="18"/>
                <w:lang w:eastAsia="hr-HR"/>
              </w:rPr>
            </w:pPr>
          </w:p>
        </w:tc>
      </w:tr>
      <w:tr w:rsidR="5AB0C6CE" w14:paraId="23292810" w14:textId="77777777" w:rsidTr="4DCF16DC">
        <w:trPr>
          <w:trHeight w:val="300"/>
        </w:trPr>
        <w:tc>
          <w:tcPr>
            <w:tcW w:w="2837" w:type="dxa"/>
          </w:tcPr>
          <w:p w14:paraId="707CC77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3D15E216"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CACCA75" w14:textId="31F2F447" w:rsidR="72072868" w:rsidRDefault="097E60DB" w:rsidP="4DCF16DC">
            <w:pPr>
              <w:spacing w:after="0" w:line="240" w:lineRule="auto"/>
              <w:rPr>
                <w:rFonts w:eastAsiaTheme="minorEastAsia"/>
                <w:sz w:val="18"/>
                <w:szCs w:val="18"/>
                <w:lang w:eastAsia="hr-HR"/>
              </w:rPr>
            </w:pPr>
            <w:r w:rsidRPr="4DCF16DC">
              <w:rPr>
                <w:rFonts w:eastAsiaTheme="minorEastAsia"/>
                <w:sz w:val="18"/>
                <w:szCs w:val="18"/>
                <w:lang w:eastAsia="hr-HR"/>
              </w:rPr>
              <w:t>Iako se Photovoice primarno koristi kao istraživački alat, ovaj rad naglašava njegovu podcijenjenu ulogu kao pedagoškog alata. Identificirani su sljedeći ishodi učenja:</w:t>
            </w:r>
          </w:p>
          <w:p w14:paraId="5E71755B" w14:textId="1DF914B9" w:rsidR="72072868" w:rsidRDefault="097E60DB" w:rsidP="4DCF16DC">
            <w:pPr>
              <w:spacing w:after="0" w:line="240" w:lineRule="auto"/>
              <w:rPr>
                <w:rFonts w:eastAsiaTheme="minorEastAsia"/>
                <w:sz w:val="18"/>
                <w:szCs w:val="18"/>
                <w:lang w:eastAsia="hr-HR"/>
              </w:rPr>
            </w:pPr>
            <w:r w:rsidRPr="4DCF16DC">
              <w:rPr>
                <w:rFonts w:eastAsiaTheme="minorEastAsia"/>
                <w:sz w:val="18"/>
                <w:szCs w:val="18"/>
                <w:lang w:eastAsia="hr-HR"/>
              </w:rPr>
              <w:t>1. Kritička svijest: Učenici su postali svjesniji okolišnih čimbenika koji utječu na zdravlje, poput dostupnosti zdrave hrane u svojoj blizini ili načina na koji se hrana priprema.</w:t>
            </w:r>
          </w:p>
          <w:p w14:paraId="524DE4C5" w14:textId="50D1ACD7" w:rsidR="72072868" w:rsidRDefault="097E60DB" w:rsidP="4DCF16DC">
            <w:pPr>
              <w:spacing w:after="0" w:line="240" w:lineRule="auto"/>
              <w:rPr>
                <w:rFonts w:eastAsiaTheme="minorEastAsia"/>
                <w:sz w:val="18"/>
                <w:szCs w:val="18"/>
                <w:lang w:eastAsia="hr-HR"/>
              </w:rPr>
            </w:pPr>
            <w:r w:rsidRPr="4DCF16DC">
              <w:rPr>
                <w:rFonts w:eastAsiaTheme="minorEastAsia"/>
                <w:sz w:val="18"/>
                <w:szCs w:val="18"/>
                <w:lang w:eastAsia="hr-HR"/>
              </w:rPr>
              <w:t>2. Razvoj sposobnosti: Sudjelovanje je poboljšalo njihove vještine kritičke analize, slušanja, socijalne interakcije te tehničke vještine fotografiranja.</w:t>
            </w:r>
          </w:p>
          <w:p w14:paraId="2166061B" w14:textId="3F70888B" w:rsidR="72072868" w:rsidRDefault="097E60DB" w:rsidP="4DCF16DC">
            <w:pPr>
              <w:spacing w:after="0" w:line="240" w:lineRule="auto"/>
              <w:rPr>
                <w:rFonts w:eastAsiaTheme="minorEastAsia"/>
                <w:sz w:val="18"/>
                <w:szCs w:val="18"/>
                <w:lang w:eastAsia="hr-HR"/>
              </w:rPr>
            </w:pPr>
            <w:r w:rsidRPr="4DCF16DC">
              <w:rPr>
                <w:rFonts w:eastAsiaTheme="minorEastAsia"/>
                <w:sz w:val="18"/>
                <w:szCs w:val="18"/>
                <w:lang w:eastAsia="hr-HR"/>
              </w:rPr>
              <w:t>3. Osnaživanje: Proces je omogućio učenicima da se osjećaju cijenjenima i saslušanima, što je povećalo njihovo samopouzdanje i osjećaj da mogu potaknuti pozitivne promjene</w:t>
            </w:r>
          </w:p>
          <w:p w14:paraId="737E225C" w14:textId="14C31A82" w:rsidR="5AB0C6CE" w:rsidRDefault="5AB0C6CE" w:rsidP="4DCF16DC">
            <w:pPr>
              <w:spacing w:after="0" w:line="240" w:lineRule="auto"/>
              <w:rPr>
                <w:rFonts w:eastAsiaTheme="minorEastAsia"/>
                <w:sz w:val="18"/>
                <w:szCs w:val="18"/>
                <w:lang w:eastAsia="hr-HR"/>
              </w:rPr>
            </w:pPr>
          </w:p>
        </w:tc>
      </w:tr>
      <w:tr w:rsidR="5AB0C6CE" w14:paraId="025B6FE4" w14:textId="77777777" w:rsidTr="4DCF16DC">
        <w:trPr>
          <w:trHeight w:val="300"/>
        </w:trPr>
        <w:tc>
          <w:tcPr>
            <w:tcW w:w="2837" w:type="dxa"/>
          </w:tcPr>
          <w:p w14:paraId="312EC1C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597303A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5000FDE7" w14:textId="761B8742" w:rsidR="2EF69ACB" w:rsidRDefault="23F61E2E" w:rsidP="4DCF16DC">
            <w:pPr>
              <w:spacing w:after="0" w:line="240" w:lineRule="auto"/>
              <w:rPr>
                <w:rFonts w:eastAsiaTheme="minorEastAsia"/>
                <w:sz w:val="18"/>
                <w:szCs w:val="18"/>
                <w:lang w:eastAsia="hr-HR"/>
              </w:rPr>
            </w:pPr>
            <w:r w:rsidRPr="4DCF16DC">
              <w:rPr>
                <w:rFonts w:eastAsiaTheme="minorEastAsia"/>
                <w:sz w:val="18"/>
                <w:szCs w:val="18"/>
                <w:lang w:eastAsia="hr-HR"/>
              </w:rPr>
              <w:t>Autori ovo</w:t>
            </w:r>
            <w:r w:rsidR="551B946A" w:rsidRPr="4DCF16DC">
              <w:rPr>
                <w:rFonts w:eastAsiaTheme="minorEastAsia"/>
                <w:sz w:val="18"/>
                <w:szCs w:val="18"/>
                <w:lang w:eastAsia="hr-HR"/>
              </w:rPr>
              <w:t>g</w:t>
            </w:r>
            <w:r w:rsidRPr="4DCF16DC">
              <w:rPr>
                <w:rFonts w:eastAsiaTheme="minorEastAsia"/>
                <w:sz w:val="18"/>
                <w:szCs w:val="18"/>
                <w:lang w:eastAsia="hr-HR"/>
              </w:rPr>
              <w:t xml:space="preserve"> rada tvrde da bi Photovoice trebao biti prepoznat kao vrijedan nastavni alat povezan s kurikulumom. On ne služi samo za prikupljanje podataka, već potiče razvoj kritičkog razmišljanja i može služiti kao intervencija za promjenu zdravstvenih ponašanja adolescenata kroz istraživanje njihova neposrednog okruženja</w:t>
            </w:r>
          </w:p>
        </w:tc>
      </w:tr>
      <w:tr w:rsidR="5AB0C6CE" w14:paraId="158FFB7E" w14:textId="77777777" w:rsidTr="4DCF16DC">
        <w:trPr>
          <w:trHeight w:val="300"/>
        </w:trPr>
        <w:tc>
          <w:tcPr>
            <w:tcW w:w="2837" w:type="dxa"/>
          </w:tcPr>
          <w:p w14:paraId="3B861DD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3ED377CB" w14:textId="77777777" w:rsidR="5AB0C6CE" w:rsidRDefault="5AB0C6CE" w:rsidP="4DCF16DC">
            <w:pPr>
              <w:spacing w:after="0" w:line="240" w:lineRule="auto"/>
              <w:rPr>
                <w:rFonts w:eastAsiaTheme="minorEastAsia"/>
                <w:sz w:val="18"/>
                <w:szCs w:val="18"/>
                <w:lang w:eastAsia="hr-HR"/>
              </w:rPr>
            </w:pPr>
          </w:p>
        </w:tc>
      </w:tr>
    </w:tbl>
    <w:p w14:paraId="358EB146" w14:textId="2F043E08" w:rsidR="5AB0C6CE" w:rsidRDefault="5AB0C6CE"/>
    <w:p w14:paraId="31568EE3" w14:textId="361A5876"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6E4C7CD4" w14:textId="77777777" w:rsidTr="4DCF16DC">
        <w:trPr>
          <w:trHeight w:val="300"/>
        </w:trPr>
        <w:tc>
          <w:tcPr>
            <w:tcW w:w="2837" w:type="dxa"/>
          </w:tcPr>
          <w:p w14:paraId="364715F0" w14:textId="452C930E"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358C87BE" w14:textId="041B1E2C" w:rsidR="7D07DBC8" w:rsidRDefault="6D19104F" w:rsidP="4DCF16DC">
            <w:pPr>
              <w:spacing w:after="0" w:line="240" w:lineRule="auto"/>
              <w:rPr>
                <w:rFonts w:eastAsiaTheme="minorEastAsia"/>
                <w:sz w:val="18"/>
                <w:szCs w:val="18"/>
              </w:rPr>
            </w:pPr>
            <w:r w:rsidRPr="4DCF16DC">
              <w:rPr>
                <w:rFonts w:eastAsiaTheme="minorEastAsia"/>
                <w:sz w:val="18"/>
                <w:szCs w:val="18"/>
              </w:rPr>
              <w:t xml:space="preserve">Dundović, I. (2020). </w:t>
            </w:r>
            <w:r w:rsidRPr="4DCF16DC">
              <w:rPr>
                <w:rFonts w:eastAsiaTheme="minorEastAsia"/>
                <w:i/>
                <w:iCs/>
                <w:sz w:val="18"/>
                <w:szCs w:val="18"/>
              </w:rPr>
              <w:t>Mentalno-zdravstvena pismenost maturanata</w:t>
            </w:r>
            <w:r w:rsidRPr="4DCF16DC">
              <w:rPr>
                <w:rFonts w:eastAsiaTheme="minorEastAsia"/>
                <w:sz w:val="18"/>
                <w:szCs w:val="18"/>
              </w:rPr>
              <w:t xml:space="preserve"> (Diplomski rad). Sveučilište u Zagrebu.</w:t>
            </w:r>
          </w:p>
        </w:tc>
      </w:tr>
      <w:tr w:rsidR="5AB0C6CE" w14:paraId="21C36FAD" w14:textId="77777777" w:rsidTr="4DCF16DC">
        <w:trPr>
          <w:trHeight w:val="300"/>
        </w:trPr>
        <w:tc>
          <w:tcPr>
            <w:tcW w:w="2837" w:type="dxa"/>
          </w:tcPr>
          <w:p w14:paraId="045D946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43FB1865" w14:textId="633A8991" w:rsidR="068B428B" w:rsidRDefault="4A62C3F1" w:rsidP="4DCF16DC">
            <w:pPr>
              <w:spacing w:after="0" w:line="240" w:lineRule="auto"/>
              <w:rPr>
                <w:rFonts w:eastAsiaTheme="minorEastAsia"/>
                <w:sz w:val="18"/>
                <w:szCs w:val="18"/>
                <w:lang w:eastAsia="hr-HR"/>
              </w:rPr>
            </w:pPr>
            <w:r w:rsidRPr="4DCF16DC">
              <w:rPr>
                <w:rFonts w:eastAsiaTheme="minorEastAsia"/>
                <w:sz w:val="18"/>
                <w:szCs w:val="18"/>
                <w:lang w:eastAsia="hr-HR"/>
              </w:rPr>
              <w:t>https://urn.nsk.hr/urn:nbn:hr:158:440992</w:t>
            </w:r>
          </w:p>
        </w:tc>
      </w:tr>
      <w:tr w:rsidR="5AB0C6CE" w14:paraId="40AE3B5A" w14:textId="77777777" w:rsidTr="4DCF16DC">
        <w:trPr>
          <w:trHeight w:val="300"/>
        </w:trPr>
        <w:tc>
          <w:tcPr>
            <w:tcW w:w="2837" w:type="dxa"/>
          </w:tcPr>
          <w:p w14:paraId="6B246EA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762A1599" w14:textId="70264DD2" w:rsidR="167F25D9" w:rsidRDefault="6ECD0DD8" w:rsidP="4DCF16DC">
            <w:pPr>
              <w:spacing w:after="0" w:line="240" w:lineRule="auto"/>
              <w:rPr>
                <w:rFonts w:eastAsiaTheme="minorEastAsia"/>
                <w:sz w:val="18"/>
                <w:szCs w:val="18"/>
                <w:lang w:eastAsia="hr-HR"/>
              </w:rPr>
            </w:pPr>
            <w:r w:rsidRPr="4DCF16DC">
              <w:rPr>
                <w:rFonts w:eastAsiaTheme="minorEastAsia"/>
                <w:sz w:val="18"/>
                <w:szCs w:val="18"/>
                <w:lang w:eastAsia="hr-HR"/>
              </w:rPr>
              <w:t>Mentalno-zdravstvena pismenost</w:t>
            </w:r>
          </w:p>
        </w:tc>
      </w:tr>
      <w:tr w:rsidR="5AB0C6CE" w14:paraId="1B339ACE" w14:textId="77777777" w:rsidTr="4DCF16DC">
        <w:trPr>
          <w:trHeight w:val="300"/>
        </w:trPr>
        <w:tc>
          <w:tcPr>
            <w:tcW w:w="2837" w:type="dxa"/>
          </w:tcPr>
          <w:p w14:paraId="46D65B44"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76EF64A0" w14:textId="4503304F" w:rsidR="37A937B9" w:rsidRDefault="1ED5CC5E" w:rsidP="4DCF16DC">
            <w:pPr>
              <w:spacing w:after="0" w:line="240" w:lineRule="auto"/>
              <w:rPr>
                <w:rFonts w:eastAsiaTheme="minorEastAsia"/>
                <w:sz w:val="18"/>
                <w:szCs w:val="18"/>
                <w:lang w:eastAsia="hr-HR"/>
              </w:rPr>
            </w:pPr>
            <w:r w:rsidRPr="4DCF16DC">
              <w:rPr>
                <w:rFonts w:eastAsiaTheme="minorEastAsia"/>
                <w:sz w:val="18"/>
                <w:szCs w:val="18"/>
                <w:lang w:eastAsia="hr-HR"/>
              </w:rPr>
              <w:t>Vedran Jakobek</w:t>
            </w:r>
          </w:p>
        </w:tc>
      </w:tr>
      <w:tr w:rsidR="5AB0C6CE" w14:paraId="2786395F" w14:textId="77777777" w:rsidTr="4DCF16DC">
        <w:trPr>
          <w:trHeight w:val="300"/>
        </w:trPr>
        <w:tc>
          <w:tcPr>
            <w:tcW w:w="2837" w:type="dxa"/>
          </w:tcPr>
          <w:p w14:paraId="11BD5CA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61BDD21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68972BBE"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13D331B0"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65292D17"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32F7716C" w14:textId="3E850B7B" w:rsidR="1F8FF2EA" w:rsidRDefault="0062CB4A"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3</w:t>
            </w:r>
          </w:p>
        </w:tc>
      </w:tr>
      <w:tr w:rsidR="5AB0C6CE" w14:paraId="0111F726" w14:textId="77777777" w:rsidTr="4DCF16DC">
        <w:trPr>
          <w:trHeight w:val="300"/>
        </w:trPr>
        <w:tc>
          <w:tcPr>
            <w:tcW w:w="2837" w:type="dxa"/>
          </w:tcPr>
          <w:p w14:paraId="2EA00F4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6653E64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F838AA6" w14:textId="3188CDCE" w:rsidR="32E49438" w:rsidRDefault="717602B5"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Temeljni cilj ovog diplomskog rada je upoznati i razumjeti područje mentalnozdravstvene pismenosti adolescenata u Hrvatskoj, uvidom u karakteristike te stupanj mentalnozdravstvene pismenost maturanata grada Našica. Specifični ciljevi se odnose na ispitivanje prepoznavanja problema, stavova o traženju pomoći, intervencija prve pomoći te iskustva mentalnih problema. Također, ispitivalo se postojanje razlika u prepoznavanju problema i traženju pomoći s obzirom na vlastito iskustvo mentalnih problema. </w:t>
            </w:r>
          </w:p>
          <w:p w14:paraId="3096A0D0" w14:textId="218BFE66" w:rsidR="32E49438" w:rsidRDefault="717602B5"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 </w:t>
            </w:r>
          </w:p>
          <w:p w14:paraId="32AF8A7F" w14:textId="6EACAC6C" w:rsidR="32E49438" w:rsidRDefault="717602B5"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Istraživanje je provedeno putem online upitnika postavljenog u programu LimeSurvey, koji je bio aktivan od 15. svibnja 2020. do 29. svibnja 2020. godine. Prigodni uzorak činilo je 79 maturanata srednje škole Isidora Kršnjavoga u Našicama. Za procjenu mentalno-zdravstvene pismenosti upotrijebljen je Upitnik zdravstvene pismenosti u području mentalnoga zdravlja djece i mladih (Mental Health Literacy Questionnaire – MHL), autora prof. Antonyja Jorma. Hrvatsku verziju upitnika preveo je i prilagodio Hrvatski zavod za javno zdravstvo za potrebe istraživanja zdravstvene pismenosti odgojno-obrazovnih djelatnika u području mentalnoga zdravlja. Upitnik upotrijebljen u ovom istraživanju je temeljen na vinjetnoj istraživačkoj metodologiji koja opisuje probleme socijalne fobije i depresivnosti. </w:t>
            </w:r>
          </w:p>
          <w:p w14:paraId="302C6420" w14:textId="2E4DE9C3" w:rsidR="32E49438" w:rsidRDefault="717602B5"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 </w:t>
            </w:r>
          </w:p>
          <w:p w14:paraId="1CB1B691" w14:textId="07D80828" w:rsidR="32E49438" w:rsidRDefault="717602B5" w:rsidP="4DCF16DC">
            <w:pPr>
              <w:spacing w:after="0" w:line="240" w:lineRule="auto"/>
              <w:rPr>
                <w:rFonts w:eastAsiaTheme="minorEastAsia"/>
                <w:sz w:val="18"/>
                <w:szCs w:val="18"/>
                <w:lang w:eastAsia="hr-HR"/>
              </w:rPr>
            </w:pPr>
            <w:r w:rsidRPr="4DCF16DC">
              <w:rPr>
                <w:rFonts w:eastAsiaTheme="minorEastAsia"/>
                <w:sz w:val="18"/>
                <w:szCs w:val="18"/>
                <w:lang w:eastAsia="hr-HR"/>
              </w:rPr>
              <w:t>Rezultati su pokazali da maturanti uključeni u istraživanje u većoj mjeri bolje i točnije prepoznaju probleme depresivnosti dok je za vinjete socijalne fobije utvrđen manji stupanj točnog prepoznavanja tog problema. Sudionici su skloni tražiti pomoć kod neformalnih izvora pomoći (prijatelja i obitelji) za probleme depresivnosti i socijalne fobije. Slušanje s pozornošću, poticanje društva da razvesele osobu te poticanje osobe na tjelesnu aktivnost su načini pomoći koje smatraju korisnima, ukoliko bi njima bliska osoba imala isti problem kao u vinjeti. Veći udio sudionika navodi postojanje vlastitog iskustva problema socijalne fobije, nego problema depresivnosti. Nije se pokazala statistički značajna razlika u prepoznavanju problema i traženju pomoći s obzirom na vlastito iskustvo mentalnih problema.</w:t>
            </w:r>
          </w:p>
        </w:tc>
      </w:tr>
      <w:tr w:rsidR="5AB0C6CE" w14:paraId="44B6553A" w14:textId="77777777" w:rsidTr="4DCF16DC">
        <w:trPr>
          <w:trHeight w:val="300"/>
        </w:trPr>
        <w:tc>
          <w:tcPr>
            <w:tcW w:w="2837" w:type="dxa"/>
          </w:tcPr>
          <w:p w14:paraId="6DFC60A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0D967B04" w14:textId="4D387141" w:rsidR="66DB69CC" w:rsidRDefault="4D6BD69C" w:rsidP="4DCF16DC">
            <w:pPr>
              <w:spacing w:after="0" w:line="240" w:lineRule="auto"/>
              <w:rPr>
                <w:rFonts w:eastAsiaTheme="minorEastAsia"/>
                <w:sz w:val="18"/>
                <w:szCs w:val="18"/>
                <w:lang w:eastAsia="hr-HR"/>
              </w:rPr>
            </w:pPr>
            <w:r w:rsidRPr="4DCF16DC">
              <w:rPr>
                <w:rFonts w:eastAsiaTheme="minorEastAsia"/>
                <w:sz w:val="18"/>
                <w:szCs w:val="18"/>
                <w:lang w:eastAsia="hr-HR"/>
              </w:rPr>
              <w:t>mentalno zdravlje, mentalno-zdravstvena pismenost, adolescencija, socijalna fobija, depresivnost</w:t>
            </w:r>
          </w:p>
        </w:tc>
      </w:tr>
      <w:tr w:rsidR="5AB0C6CE" w14:paraId="2C83CA92" w14:textId="77777777" w:rsidTr="4DCF16DC">
        <w:trPr>
          <w:trHeight w:val="300"/>
        </w:trPr>
        <w:tc>
          <w:tcPr>
            <w:tcW w:w="2837" w:type="dxa"/>
          </w:tcPr>
          <w:p w14:paraId="3BFB082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1CC8DB7F" w14:textId="4534ECA3" w:rsidR="0EF14EF1" w:rsidRDefault="769EC99F" w:rsidP="4DCF16DC">
            <w:pPr>
              <w:spacing w:after="0" w:line="240" w:lineRule="auto"/>
              <w:rPr>
                <w:rFonts w:eastAsiaTheme="minorEastAsia"/>
                <w:sz w:val="18"/>
                <w:szCs w:val="18"/>
              </w:rPr>
            </w:pPr>
            <w:r w:rsidRPr="4DCF16DC">
              <w:rPr>
                <w:rFonts w:eastAsiaTheme="minorEastAsia"/>
                <w:sz w:val="18"/>
                <w:szCs w:val="18"/>
                <w:lang w:eastAsia="hr-HR"/>
              </w:rPr>
              <w:t>Ovo je jedno od prvih istraživanja koje se bavilo ispitivanjem</w:t>
            </w:r>
            <w:r w:rsidR="1BF9A68D" w:rsidRPr="4DCF16DC">
              <w:rPr>
                <w:rFonts w:eastAsiaTheme="minorEastAsia"/>
                <w:sz w:val="18"/>
                <w:szCs w:val="18"/>
                <w:lang w:eastAsia="hr-HR"/>
              </w:rPr>
              <w:t xml:space="preserve"> mentalno-zdravstvene pismenosti adolescenata u Hrvatskoj</w:t>
            </w:r>
            <w:r w:rsidR="09BBCB52" w:rsidRPr="4DCF16DC">
              <w:rPr>
                <w:rFonts w:eastAsiaTheme="minorEastAsia"/>
                <w:sz w:val="18"/>
                <w:szCs w:val="18"/>
                <w:lang w:eastAsia="hr-HR"/>
              </w:rPr>
              <w:t>, a prvedeno je na uzorku maturanata srednje škole u Našicama</w:t>
            </w:r>
            <w:r w:rsidR="1BF9A68D" w:rsidRPr="4DCF16DC">
              <w:rPr>
                <w:rFonts w:eastAsiaTheme="minorEastAsia"/>
                <w:sz w:val="18"/>
                <w:szCs w:val="18"/>
                <w:lang w:eastAsia="hr-HR"/>
              </w:rPr>
              <w:t>.</w:t>
            </w:r>
            <w:r w:rsidR="7DA96311" w:rsidRPr="4DCF16DC">
              <w:rPr>
                <w:rFonts w:eastAsiaTheme="minorEastAsia"/>
                <w:sz w:val="18"/>
                <w:szCs w:val="18"/>
              </w:rPr>
              <w:t xml:space="preserve"> Istraživanje je obuhvatilo procjenu prepoznavanja mentalnih problema, stavova prema traženju pomoći, intervencija prve pomoći te vlastitog iskustva mentalnih poteškoća. U online istraživanju sudjelovalo je 79 maturanata, a korišten je vinjetni Upitnik mentalnozdravstvene pismenosti (MHL</w:t>
            </w:r>
            <w:r w:rsidR="149AA1E4" w:rsidRPr="4DCF16DC">
              <w:rPr>
                <w:rFonts w:eastAsiaTheme="minorEastAsia"/>
                <w:sz w:val="18"/>
                <w:szCs w:val="18"/>
              </w:rPr>
              <w:t>; Jorm</w:t>
            </w:r>
            <w:r w:rsidR="7DA96311" w:rsidRPr="4DCF16DC">
              <w:rPr>
                <w:rFonts w:eastAsiaTheme="minorEastAsia"/>
                <w:sz w:val="18"/>
                <w:szCs w:val="18"/>
              </w:rPr>
              <w:t>). Rezultati su pokazali bolje prepoznavanje depresivnosti u odnosu na socijalnu fobiju, sklonost traženju pomoći kod neformalnih izvora te izostanak razlika u prepoznavanju problema i traženju pomoći s obzirom na vlastito iskustvo mentalnih poteškoća</w:t>
            </w:r>
            <w:r w:rsidR="13BE719C" w:rsidRPr="4DCF16DC">
              <w:rPr>
                <w:rFonts w:eastAsiaTheme="minorEastAsia"/>
                <w:sz w:val="18"/>
                <w:szCs w:val="18"/>
              </w:rPr>
              <w:t>, osim za traženje pomoći kod ispunjavanja vinjete za depresiju. Sudionici s vlastitim iskustvom mentalnih problema u manjoj su mjeri skloni tražiti pomoć ako bi imali is</w:t>
            </w:r>
            <w:r w:rsidR="25263924" w:rsidRPr="4DCF16DC">
              <w:rPr>
                <w:rFonts w:eastAsiaTheme="minorEastAsia"/>
                <w:sz w:val="18"/>
                <w:szCs w:val="18"/>
              </w:rPr>
              <w:t xml:space="preserve">ti problem kao osoba u vinjeti. </w:t>
            </w:r>
          </w:p>
        </w:tc>
      </w:tr>
      <w:tr w:rsidR="5AB0C6CE" w14:paraId="5CBA56D2" w14:textId="77777777" w:rsidTr="4DCF16DC">
        <w:trPr>
          <w:trHeight w:val="300"/>
        </w:trPr>
        <w:tc>
          <w:tcPr>
            <w:tcW w:w="2837" w:type="dxa"/>
          </w:tcPr>
          <w:p w14:paraId="0D8D0236"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2D9EABB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3BB1761" w14:textId="4AC584AC"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Rezultati ovog istraživanja pokazali su vrlo visoku razinu prepoznavanja problema u vinjetama, pri čemu je 84,8% sudionika prepoznalo problem socijalne fobije te 94,9% sudionika problem depresivnosti. </w:t>
            </w:r>
          </w:p>
          <w:p w14:paraId="1DD455BB" w14:textId="3E20959C"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Za razliku od visoke razine prepoznavanja, točno imenovanje problema u vinjeti bilo je znatno niže. Naime, samo 28,4% sudionika točno je imenovalo socijalnu fobiju, dok je nešto veći udio ispitanika, njih 57,3% točno imenovalo problem depresivnosti. </w:t>
            </w:r>
          </w:p>
          <w:p w14:paraId="13595557" w14:textId="63AC3381"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U tom smjeru, samo 27,8% sudionika bi potražilo pomoć ako bi imali probleme socijalne fobije te 46,8% sudionika za probleme depresivnosti, s tim da bi pomoć najviše tražili kod neformalnih izvora pomoći, prije svega prijatelja i roditelja. </w:t>
            </w:r>
          </w:p>
          <w:p w14:paraId="5DC57A7F" w14:textId="07458F51"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Oko 80% sudionika kod obje vinjete najviše smatraju korisnim - slušanje s pozornošću, poticanje društva da osobu razvesele te poticanje na tjelesnu aktivnost, kao načine pomoći njima bliskoj osobi koja ima problem kao u vinjeti. </w:t>
            </w:r>
          </w:p>
          <w:p w14:paraId="1255EA22" w14:textId="149AAA06"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44,3% za vinjetu socijalna fobija te 34,2% za vinjeti depresija smatra štetno pitati osobu pomišlja li o samoubojstvu.</w:t>
            </w:r>
          </w:p>
          <w:p w14:paraId="5D9EB085" w14:textId="6550F3BC"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22,8% sudionika smatra i štetnim, a isti postotak korisnim uključiti odrasle u rješavanje problema socijalne fobije. Postojanje vlastitog iskustva problema socijalne fobije navodi 41,8% sudionika, dok manji udio, njih 39,2% navodi postojanje vlastitog iskustva problema depresivnosti. </w:t>
            </w:r>
          </w:p>
          <w:p w14:paraId="35C0E808" w14:textId="1FA7D549"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Gledajući vlastito iskustvo mentalnih problema, rezultati ovoga istraživanja pokazali su kako ne postoje statistički značajne razlike u prepoznavanju problema i traženja pomoći s obzirom na vlastito iskustvo mentalnih problema. </w:t>
            </w:r>
          </w:p>
          <w:p w14:paraId="06E029CE" w14:textId="347B8CDD" w:rsidR="1356B430" w:rsidRDefault="5515C65D" w:rsidP="4DCF16DC">
            <w:pPr>
              <w:spacing w:after="0" w:line="240" w:lineRule="auto"/>
              <w:rPr>
                <w:rFonts w:eastAsiaTheme="minorEastAsia"/>
                <w:sz w:val="18"/>
                <w:szCs w:val="18"/>
                <w:lang w:eastAsia="hr-HR"/>
              </w:rPr>
            </w:pPr>
            <w:r w:rsidRPr="4DCF16DC">
              <w:rPr>
                <w:rFonts w:eastAsiaTheme="minorEastAsia"/>
                <w:sz w:val="18"/>
                <w:szCs w:val="18"/>
                <w:lang w:eastAsia="hr-HR"/>
              </w:rPr>
              <w:t>Za vinjetu depresivnost sudionici bez iskustva vlastitih mentalnih problema skloniji su u većoj mjeri tražiti pomoć, nego oni s iskustvom.</w:t>
            </w:r>
          </w:p>
        </w:tc>
      </w:tr>
      <w:tr w:rsidR="5AB0C6CE" w14:paraId="4BC4F7D5" w14:textId="77777777" w:rsidTr="4DCF16DC">
        <w:trPr>
          <w:trHeight w:val="300"/>
        </w:trPr>
        <w:tc>
          <w:tcPr>
            <w:tcW w:w="2837" w:type="dxa"/>
          </w:tcPr>
          <w:p w14:paraId="1815BE7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450ECE9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0A287ADE" w14:textId="790C35AF" w:rsidR="2C7EE20E" w:rsidRDefault="43EBCA2E" w:rsidP="4DCF16DC">
            <w:pPr>
              <w:spacing w:after="0" w:line="240" w:lineRule="auto"/>
              <w:rPr>
                <w:rFonts w:eastAsiaTheme="minorEastAsia"/>
                <w:sz w:val="18"/>
                <w:szCs w:val="18"/>
                <w:lang w:eastAsia="hr-HR"/>
              </w:rPr>
            </w:pPr>
            <w:r w:rsidRPr="4DCF16DC">
              <w:rPr>
                <w:rFonts w:eastAsiaTheme="minorEastAsia"/>
                <w:sz w:val="18"/>
                <w:szCs w:val="18"/>
                <w:lang w:eastAsia="hr-HR"/>
              </w:rPr>
              <w:t>Bilo bi korisno pregleda</w:t>
            </w:r>
            <w:r w:rsidR="570DE139" w:rsidRPr="4DCF16DC">
              <w:rPr>
                <w:rFonts w:eastAsiaTheme="minorEastAsia"/>
                <w:sz w:val="18"/>
                <w:szCs w:val="18"/>
                <w:lang w:eastAsia="hr-HR"/>
              </w:rPr>
              <w:t>ti</w:t>
            </w:r>
            <w:r w:rsidRPr="4DCF16DC">
              <w:rPr>
                <w:rFonts w:eastAsiaTheme="minorEastAsia"/>
                <w:sz w:val="18"/>
                <w:szCs w:val="18"/>
                <w:lang w:eastAsia="hr-HR"/>
              </w:rPr>
              <w:t xml:space="preserve"> upitnik korišten u ovom istraživanju:</w:t>
            </w:r>
          </w:p>
          <w:p w14:paraId="2CAF2848" w14:textId="359676E0" w:rsidR="2C7EE20E" w:rsidRDefault="43EBCA2E"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Upotrijebljen je Upitnik zdravstvene pismenosti u području mentalnoga zdravlja djece i mladih koji sadrži kvantitativan i kvalitativan tip pitanja. </w:t>
            </w:r>
          </w:p>
          <w:p w14:paraId="3D96F72C" w14:textId="0AC33CA0" w:rsidR="2C7EE20E" w:rsidRDefault="43EBCA2E" w:rsidP="4DCF16DC">
            <w:pPr>
              <w:spacing w:after="0" w:line="240" w:lineRule="auto"/>
              <w:rPr>
                <w:rFonts w:eastAsiaTheme="minorEastAsia"/>
                <w:sz w:val="18"/>
                <w:szCs w:val="18"/>
                <w:lang w:eastAsia="hr-HR"/>
              </w:rPr>
            </w:pPr>
            <w:r w:rsidRPr="4DCF16DC">
              <w:rPr>
                <w:rFonts w:eastAsiaTheme="minorEastAsia"/>
                <w:sz w:val="18"/>
                <w:szCs w:val="18"/>
                <w:lang w:eastAsia="hr-HR"/>
              </w:rPr>
              <w:t>Hrvatsku verziju upitnika preveo je i prilagodio Hrvatski zavod za javno zdravstvo za potrebe istraživanja zdravstvene pismenosti odgojno-obrazovnih djelatnika u području mentalnoga zdravlja, u suradnji sa utemeljiteljem koncepta mentalno-zdravstvene pismenosti prof. Antonyjem Jormom koji je ujedno i ustupio upitnike. Za potrebe ovoga istraživanja hrvatska se verzija upitnika dodatno prilagodila. Zbog složenosti i velikog broja pitanja originalnog upitnika, u ovom je istraživanju broj kategorija pitanja koja se odnose na vinjetu smanjen s osam na četiri kategorije. Time se dužina i zahtjevnost upitnika prilagodila uzrastu sudionika te online uvjetima ispunjavanja upitnika. Jednako tako, pojedini izrazi, sintagme i riječi prilagođene su rječniku i kontekstu adolescenata kako bi što bolje razumjeli ono što se od njih traži. Upitnik se temelji na vinjetnoj istraživačkoj metodologiji. Vinjetno je istraživanje vrsta istraživanja koje na početku ispitaniku nudi kratku priču o izmišljenoj osobi koja ima određene probleme i teškoće. U nastavku se od sudionika traži da odgovara na pitanja povezana s pričom – npr. da prepozna problem koji izmišljena osoba ima, iznese spremnost na pružanje pomoći takvoj osobi i dr.</w:t>
            </w:r>
          </w:p>
          <w:p w14:paraId="06845A2E" w14:textId="7CBCFFBA" w:rsidR="5AB0C6CE" w:rsidRDefault="5AB0C6CE" w:rsidP="4DCF16DC">
            <w:pPr>
              <w:spacing w:after="0" w:line="240" w:lineRule="auto"/>
              <w:rPr>
                <w:rFonts w:eastAsiaTheme="minorEastAsia"/>
                <w:sz w:val="18"/>
                <w:szCs w:val="18"/>
                <w:lang w:eastAsia="hr-HR"/>
              </w:rPr>
            </w:pPr>
          </w:p>
          <w:p w14:paraId="309E637D" w14:textId="3C956B1B" w:rsidR="210BAA03" w:rsidRDefault="061D4B7B" w:rsidP="4DCF16DC">
            <w:pPr>
              <w:spacing w:after="0" w:line="240" w:lineRule="auto"/>
              <w:rPr>
                <w:rFonts w:eastAsiaTheme="minorEastAsia"/>
                <w:sz w:val="18"/>
                <w:szCs w:val="18"/>
              </w:rPr>
            </w:pPr>
            <w:r w:rsidRPr="4DCF16DC">
              <w:rPr>
                <w:rFonts w:eastAsiaTheme="minorEastAsia"/>
                <w:sz w:val="18"/>
                <w:szCs w:val="18"/>
                <w:lang w:eastAsia="hr-HR"/>
              </w:rPr>
              <w:t xml:space="preserve">U radu se navodi: </w:t>
            </w:r>
            <w:r w:rsidR="1960BFE1" w:rsidRPr="4DCF16DC">
              <w:rPr>
                <w:rFonts w:eastAsiaTheme="minorEastAsia"/>
                <w:sz w:val="18"/>
                <w:szCs w:val="18"/>
              </w:rPr>
              <w:t>Temeljem istraživanja (Muslić i sur., 2018) razvijen je i u procesu je provedbe edukativni program „PoMoZi Da“ kojim se želi pomoći odgojno-obrazovnim djelatnicima u izgradnji odnosa povjerenja i podrške s učenicima, lakšem prepoznavanju anksiozne ili depresivne simptomatologije kod učenika, poticanje učenika s problemima mentalnoga zdravlja na traženje ili prihvaćanje stručne pomoći te stvaranje okruženja u kojem će se djeca i mladi lakše moći zaštiti i očuvati svoje mentalno zdravlje</w:t>
            </w:r>
          </w:p>
          <w:p w14:paraId="3BCD143D" w14:textId="7B849B42" w:rsidR="5A1B72D9" w:rsidRDefault="1960BFE1" w:rsidP="4DCF16DC">
            <w:pPr>
              <w:spacing w:after="0" w:line="240" w:lineRule="auto"/>
              <w:rPr>
                <w:rFonts w:eastAsiaTheme="minorEastAsia"/>
                <w:sz w:val="18"/>
                <w:szCs w:val="18"/>
              </w:rPr>
            </w:pPr>
            <w:r w:rsidRPr="4DCF16DC">
              <w:rPr>
                <w:rFonts w:eastAsiaTheme="minorEastAsia"/>
                <w:sz w:val="18"/>
                <w:szCs w:val="18"/>
              </w:rPr>
              <w:t>Poveznica na web stranicu “PoMoZi Da” programa: https://zivjetizdravo.eu/2022/01/21/edukativni-program-pomozi-da-program-mentalnozdravstvenog-opismenjavanja-odgojno-obrazovnih-djelatnika-u-podrucju-mentalnog-zdravlja-djece-i-mladih/</w:t>
            </w:r>
          </w:p>
        </w:tc>
      </w:tr>
      <w:tr w:rsidR="5AB0C6CE" w14:paraId="006B8FCC" w14:textId="77777777" w:rsidTr="4DCF16DC">
        <w:trPr>
          <w:trHeight w:val="300"/>
        </w:trPr>
        <w:tc>
          <w:tcPr>
            <w:tcW w:w="2837" w:type="dxa"/>
          </w:tcPr>
          <w:p w14:paraId="4538D72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15025600" w14:textId="77777777" w:rsidR="5AB0C6CE" w:rsidRDefault="5AB0C6CE" w:rsidP="4DCF16DC">
            <w:pPr>
              <w:spacing w:after="0" w:line="240" w:lineRule="auto"/>
              <w:rPr>
                <w:rFonts w:eastAsiaTheme="minorEastAsia"/>
                <w:sz w:val="18"/>
                <w:szCs w:val="18"/>
                <w:lang w:eastAsia="hr-HR"/>
              </w:rPr>
            </w:pPr>
          </w:p>
        </w:tc>
      </w:tr>
    </w:tbl>
    <w:p w14:paraId="2634514D" w14:textId="2953FF27" w:rsidR="5AB0C6CE" w:rsidRDefault="5AB0C6CE"/>
    <w:p w14:paraId="71B1634C" w14:textId="4F9A11BB"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08F6FE67" w14:textId="77777777" w:rsidTr="4DCF16DC">
        <w:trPr>
          <w:trHeight w:val="300"/>
        </w:trPr>
        <w:tc>
          <w:tcPr>
            <w:tcW w:w="2837" w:type="dxa"/>
          </w:tcPr>
          <w:p w14:paraId="74F2D061" w14:textId="7AAC9266"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12BE55B5" w14:textId="02EC7079" w:rsidR="08D2CE64" w:rsidRDefault="044D0889" w:rsidP="4DCF16DC">
            <w:pPr>
              <w:spacing w:after="0" w:line="240" w:lineRule="auto"/>
              <w:rPr>
                <w:rFonts w:eastAsiaTheme="minorEastAsia"/>
                <w:sz w:val="18"/>
                <w:szCs w:val="18"/>
                <w:lang w:val="en-US"/>
              </w:rPr>
            </w:pPr>
            <w:r w:rsidRPr="4DCF16DC">
              <w:rPr>
                <w:rFonts w:eastAsiaTheme="minorEastAsia"/>
                <w:sz w:val="18"/>
                <w:szCs w:val="18"/>
                <w:lang w:val="en-US"/>
              </w:rPr>
              <w:t xml:space="preserve">Freţian, A. M., Graf, P., Kirchhoff, S., Glinphratum, G., Bollweg, T. M., Sauzet, O., &amp; Bauer, U. (2021). The long-term effectiveness of interventions addressing mental health literacy and stigma of mental illness in children and adolescents: Systematic review and meta-analysis. </w:t>
            </w:r>
            <w:r w:rsidRPr="4DCF16DC">
              <w:rPr>
                <w:rFonts w:eastAsiaTheme="minorEastAsia"/>
                <w:i/>
                <w:iCs/>
                <w:sz w:val="18"/>
                <w:szCs w:val="18"/>
                <w:lang w:val="en-US"/>
              </w:rPr>
              <w:t>International Journal of Public Health, 66</w:t>
            </w:r>
            <w:r w:rsidRPr="4DCF16DC">
              <w:rPr>
                <w:rFonts w:eastAsiaTheme="minorEastAsia"/>
                <w:sz w:val="18"/>
                <w:szCs w:val="18"/>
                <w:lang w:val="en-US"/>
              </w:rPr>
              <w:t xml:space="preserve">, Article 1604072. </w:t>
            </w:r>
            <w:hyperlink r:id="rId25">
              <w:r w:rsidRPr="4DCF16DC">
                <w:rPr>
                  <w:rStyle w:val="Hiperveza"/>
                  <w:rFonts w:eastAsiaTheme="minorEastAsia"/>
                  <w:sz w:val="18"/>
                  <w:szCs w:val="18"/>
                  <w:lang w:val="en-US"/>
                </w:rPr>
                <w:t>https://doi.org/10.3389/ijph.2021.1604072</w:t>
              </w:r>
            </w:hyperlink>
          </w:p>
        </w:tc>
      </w:tr>
      <w:tr w:rsidR="5AB0C6CE" w14:paraId="3EB5120C" w14:textId="77777777" w:rsidTr="4DCF16DC">
        <w:trPr>
          <w:trHeight w:val="300"/>
        </w:trPr>
        <w:tc>
          <w:tcPr>
            <w:tcW w:w="2837" w:type="dxa"/>
          </w:tcPr>
          <w:p w14:paraId="15F49F9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122728C0" w14:textId="04F110AC" w:rsidR="105D6EEE" w:rsidRDefault="59AEB587" w:rsidP="4DCF16DC">
            <w:pPr>
              <w:spacing w:after="0" w:line="240" w:lineRule="auto"/>
              <w:rPr>
                <w:rFonts w:eastAsiaTheme="minorEastAsia"/>
                <w:sz w:val="18"/>
                <w:szCs w:val="18"/>
                <w:lang w:eastAsia="hr-HR"/>
              </w:rPr>
            </w:pPr>
            <w:r w:rsidRPr="4DCF16DC">
              <w:rPr>
                <w:rFonts w:eastAsiaTheme="minorEastAsia"/>
                <w:sz w:val="18"/>
                <w:szCs w:val="18"/>
                <w:lang w:eastAsia="hr-HR"/>
              </w:rPr>
              <w:t>https://doi.org/10.3389/ijph.2021.1604072</w:t>
            </w:r>
          </w:p>
        </w:tc>
      </w:tr>
      <w:tr w:rsidR="5AB0C6CE" w14:paraId="55CC13F6" w14:textId="77777777" w:rsidTr="4DCF16DC">
        <w:trPr>
          <w:trHeight w:val="300"/>
        </w:trPr>
        <w:tc>
          <w:tcPr>
            <w:tcW w:w="2837" w:type="dxa"/>
          </w:tcPr>
          <w:p w14:paraId="37807F0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79F4A3DE" w14:textId="5AA32121" w:rsidR="19070193" w:rsidRDefault="5F205F6B" w:rsidP="4DCF16DC">
            <w:pPr>
              <w:spacing w:after="0" w:line="240" w:lineRule="auto"/>
              <w:rPr>
                <w:rFonts w:eastAsiaTheme="minorEastAsia"/>
                <w:sz w:val="18"/>
                <w:szCs w:val="18"/>
                <w:lang w:eastAsia="hr-HR"/>
              </w:rPr>
            </w:pPr>
            <w:r w:rsidRPr="4DCF16DC">
              <w:rPr>
                <w:rFonts w:eastAsiaTheme="minorEastAsia"/>
                <w:sz w:val="18"/>
                <w:szCs w:val="18"/>
                <w:lang w:eastAsia="hr-HR"/>
              </w:rPr>
              <w:t>Mentalno-zdravstvena pismenost</w:t>
            </w:r>
          </w:p>
        </w:tc>
      </w:tr>
      <w:tr w:rsidR="5AB0C6CE" w14:paraId="046D3660" w14:textId="77777777" w:rsidTr="4DCF16DC">
        <w:trPr>
          <w:trHeight w:val="300"/>
        </w:trPr>
        <w:tc>
          <w:tcPr>
            <w:tcW w:w="2837" w:type="dxa"/>
          </w:tcPr>
          <w:p w14:paraId="61746AFC"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4DEFB420" w14:textId="04713699" w:rsidR="682B290C" w:rsidRDefault="27ADB2C0" w:rsidP="4DCF16DC">
            <w:pPr>
              <w:spacing w:after="0" w:line="240" w:lineRule="auto"/>
              <w:rPr>
                <w:rFonts w:eastAsiaTheme="minorEastAsia"/>
                <w:sz w:val="18"/>
                <w:szCs w:val="18"/>
                <w:lang w:eastAsia="hr-HR"/>
              </w:rPr>
            </w:pPr>
            <w:r w:rsidRPr="4DCF16DC">
              <w:rPr>
                <w:rFonts w:eastAsiaTheme="minorEastAsia"/>
                <w:sz w:val="18"/>
                <w:szCs w:val="18"/>
                <w:lang w:eastAsia="hr-HR"/>
              </w:rPr>
              <w:t>Vedran Jakobek</w:t>
            </w:r>
          </w:p>
        </w:tc>
      </w:tr>
      <w:tr w:rsidR="5AB0C6CE" w14:paraId="6D84C5F6" w14:textId="77777777" w:rsidTr="4DCF16DC">
        <w:trPr>
          <w:trHeight w:val="300"/>
        </w:trPr>
        <w:tc>
          <w:tcPr>
            <w:tcW w:w="2837" w:type="dxa"/>
          </w:tcPr>
          <w:p w14:paraId="005875D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0F142C9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14496CA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0AE7CDD"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78DF23F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3CA38EDB" w14:textId="5BC21DFE" w:rsidR="0B5BBB66" w:rsidRDefault="00B8C083"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5AB0C6CE" w14:paraId="70E5D56D" w14:textId="77777777" w:rsidTr="4DCF16DC">
        <w:trPr>
          <w:trHeight w:val="300"/>
        </w:trPr>
        <w:tc>
          <w:tcPr>
            <w:tcW w:w="2837" w:type="dxa"/>
          </w:tcPr>
          <w:p w14:paraId="5FE133C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45FC97C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0BADAFE" w14:textId="2B62D928" w:rsidR="5A2C9927" w:rsidRDefault="02010C82" w:rsidP="4DCF16DC">
            <w:pPr>
              <w:spacing w:after="0" w:line="240" w:lineRule="auto"/>
              <w:rPr>
                <w:rFonts w:eastAsiaTheme="minorEastAsia"/>
                <w:sz w:val="18"/>
                <w:szCs w:val="18"/>
                <w:lang w:eastAsia="hr-HR"/>
              </w:rPr>
            </w:pPr>
            <w:r w:rsidRPr="4DCF16DC">
              <w:rPr>
                <w:rFonts w:eastAsiaTheme="minorEastAsia"/>
                <w:b/>
                <w:bCs/>
                <w:sz w:val="18"/>
                <w:szCs w:val="18"/>
                <w:lang w:eastAsia="hr-HR"/>
              </w:rPr>
              <w:t>Objectives:</w:t>
            </w:r>
            <w:r w:rsidRPr="4DCF16DC">
              <w:rPr>
                <w:rFonts w:eastAsiaTheme="minorEastAsia"/>
                <w:sz w:val="18"/>
                <w:szCs w:val="18"/>
                <w:lang w:eastAsia="hr-HR"/>
              </w:rPr>
              <w:t xml:space="preserve"> This study aims to provide a systematic review and meta-analysis of the literature on the long-term effects of interventions addressing children’s and adolescents’ mental health literacy and/or stigmatizing attitudes.</w:t>
            </w:r>
          </w:p>
          <w:p w14:paraId="58AF0019" w14:textId="34B57C31" w:rsidR="5A2C9927" w:rsidRDefault="02010C82" w:rsidP="4DCF16DC">
            <w:pPr>
              <w:spacing w:after="0" w:line="240" w:lineRule="auto"/>
              <w:rPr>
                <w:rFonts w:eastAsiaTheme="minorEastAsia"/>
                <w:sz w:val="18"/>
                <w:szCs w:val="18"/>
                <w:lang w:eastAsia="hr-HR"/>
              </w:rPr>
            </w:pPr>
            <w:r w:rsidRPr="4DCF16DC">
              <w:rPr>
                <w:rFonts w:eastAsiaTheme="minorEastAsia"/>
                <w:b/>
                <w:bCs/>
                <w:sz w:val="18"/>
                <w:szCs w:val="18"/>
                <w:lang w:eastAsia="hr-HR"/>
              </w:rPr>
              <w:t>Methods:</w:t>
            </w:r>
            <w:r w:rsidRPr="4DCF16DC">
              <w:rPr>
                <w:rFonts w:eastAsiaTheme="minorEastAsia"/>
                <w:sz w:val="18"/>
                <w:szCs w:val="18"/>
                <w:lang w:eastAsia="hr-HR"/>
              </w:rPr>
              <w:t xml:space="preserve"> Articles in English or German published between January 1997 and May 2020 were retrieved from five databases, leading to a total of 4,375 original articles identified.</w:t>
            </w:r>
          </w:p>
          <w:p w14:paraId="58E7774D" w14:textId="3E51FE7B" w:rsidR="5A2C9927" w:rsidRDefault="02010C82" w:rsidP="4DCF16DC">
            <w:pPr>
              <w:spacing w:after="0" w:line="240" w:lineRule="auto"/>
              <w:rPr>
                <w:rFonts w:eastAsiaTheme="minorEastAsia"/>
                <w:sz w:val="18"/>
                <w:szCs w:val="18"/>
                <w:lang w:eastAsia="hr-HR"/>
              </w:rPr>
            </w:pPr>
            <w:r w:rsidRPr="4DCF16DC">
              <w:rPr>
                <w:rFonts w:eastAsiaTheme="minorEastAsia"/>
                <w:b/>
                <w:bCs/>
                <w:sz w:val="18"/>
                <w:szCs w:val="18"/>
                <w:lang w:eastAsia="hr-HR"/>
              </w:rPr>
              <w:t>Results:</w:t>
            </w:r>
            <w:r w:rsidRPr="4DCF16DC">
              <w:rPr>
                <w:rFonts w:eastAsiaTheme="minorEastAsia"/>
                <w:sz w:val="18"/>
                <w:szCs w:val="18"/>
                <w:lang w:eastAsia="hr-HR"/>
              </w:rPr>
              <w:t xml:space="preserve"> 25 studies were included after applying exclusion criteria, 13 of which were eligible for meta-analysis. The overall average of the follow-up period was about 5 months. Long-term improvements were sustained for mental health literacy, d  0.48, 95% CI (0.34, 0.62), as well as for stigmatizing attitudes, d  0.30, 95% CI  (0.24, 0.36), and social distance, d  0.16, 95% CI  (0.03, 0.29). The combination of educational and contact components within interventions led to worse results for mental health literacy, but not stigmatizing attitudes or social distance.</w:t>
            </w:r>
          </w:p>
          <w:p w14:paraId="43C68D13" w14:textId="544BC0BB" w:rsidR="5A2C9927" w:rsidRDefault="02010C82" w:rsidP="4DCF16DC">
            <w:pPr>
              <w:spacing w:after="0" w:line="240" w:lineRule="auto"/>
              <w:rPr>
                <w:rFonts w:eastAsiaTheme="minorEastAsia"/>
                <w:sz w:val="18"/>
                <w:szCs w:val="18"/>
                <w:lang w:val="en-US" w:eastAsia="hr-HR"/>
              </w:rPr>
            </w:pPr>
            <w:r w:rsidRPr="4DCF16DC">
              <w:rPr>
                <w:rFonts w:eastAsiaTheme="minorEastAsia"/>
                <w:b/>
                <w:bCs/>
                <w:sz w:val="18"/>
                <w:szCs w:val="18"/>
                <w:lang w:val="en-US" w:eastAsia="hr-HR"/>
              </w:rPr>
              <w:t>Conclusion:</w:t>
            </w:r>
            <w:r w:rsidRPr="4DCF16DC">
              <w:rPr>
                <w:rFonts w:eastAsiaTheme="minorEastAsia"/>
                <w:sz w:val="18"/>
                <w:szCs w:val="18"/>
                <w:lang w:val="en-US" w:eastAsia="hr-HR"/>
              </w:rPr>
              <w:t xml:space="preserve"> Interventions targeting children and adolescents generally have a brief follow-up period of an average of 5 months. They show a stable improvement in mental health literacy, but are to a lesser degree able to destigmatize mental illness or improve social distance.</w:t>
            </w:r>
          </w:p>
        </w:tc>
      </w:tr>
      <w:tr w:rsidR="5AB0C6CE" w14:paraId="15B4B4AB" w14:textId="77777777" w:rsidTr="4DCF16DC">
        <w:trPr>
          <w:trHeight w:val="300"/>
        </w:trPr>
        <w:tc>
          <w:tcPr>
            <w:tcW w:w="2837" w:type="dxa"/>
          </w:tcPr>
          <w:p w14:paraId="1948819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6234B796" w14:textId="777CFD83" w:rsidR="6C8CA57F" w:rsidRDefault="24F1D86B" w:rsidP="4DCF16DC">
            <w:pPr>
              <w:spacing w:after="0" w:line="240" w:lineRule="auto"/>
              <w:rPr>
                <w:rFonts w:eastAsiaTheme="minorEastAsia"/>
                <w:sz w:val="18"/>
                <w:szCs w:val="18"/>
                <w:lang w:eastAsia="hr-HR"/>
              </w:rPr>
            </w:pPr>
            <w:r w:rsidRPr="4DCF16DC">
              <w:rPr>
                <w:rFonts w:eastAsiaTheme="minorEastAsia"/>
                <w:sz w:val="18"/>
                <w:szCs w:val="18"/>
                <w:lang w:eastAsia="hr-HR"/>
              </w:rPr>
              <w:t>adolescenti, dugoročna učinkovitost, mentalno-zdravstvena pismenost, stigma, socijalna distanca, intervencija, mentalni poremećaj</w:t>
            </w:r>
          </w:p>
        </w:tc>
      </w:tr>
      <w:tr w:rsidR="5AB0C6CE" w14:paraId="6D6935C0" w14:textId="77777777" w:rsidTr="4DCF16DC">
        <w:trPr>
          <w:trHeight w:val="300"/>
        </w:trPr>
        <w:tc>
          <w:tcPr>
            <w:tcW w:w="2837" w:type="dxa"/>
          </w:tcPr>
          <w:p w14:paraId="3EB2AD1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3ADD7850" w14:textId="04E617B0" w:rsidR="237844B8" w:rsidRDefault="75B9C302"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Cilj je ovoga rada sustavni pregled i meta-analiza intervencija kojima je cilj poboljšati MZP-a i/ili smanjenje stigme povezanu s mentalnim poremećajima kod djece i adolescenata. Ispitivali su MZP i stigmu kao odvojene, ali moguće povezane ishode intervencijskih programa, prihvaćajući da je  MZP višedimenzionalni konstrukt koji može uključivati stigmu među ostalim aspektima. Međutim, MZP i stigmu smatraju zasebnim ishodima da bi izbjegli dvosmislenost i heterogenost koja nastaje kada se studije koje mjere različite aspekte konstrukta sažmu pod sveobuhvatnom oznakom "MZP". </w:t>
            </w:r>
          </w:p>
          <w:p w14:paraId="7B100BAC" w14:textId="1C8E8766" w:rsidR="237844B8" w:rsidRDefault="5B7295AE"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Istraživačko je pitanje u radu: </w:t>
            </w:r>
          </w:p>
          <w:p w14:paraId="66CECE55" w14:textId="4B740FE3" w:rsidR="237844B8" w:rsidRDefault="5B7295AE" w:rsidP="4DCF16DC">
            <w:pPr>
              <w:spacing w:after="0" w:line="240" w:lineRule="auto"/>
              <w:rPr>
                <w:rFonts w:eastAsiaTheme="minorEastAsia"/>
                <w:sz w:val="18"/>
                <w:szCs w:val="18"/>
                <w:lang w:eastAsia="hr-HR"/>
              </w:rPr>
            </w:pPr>
            <w:r w:rsidRPr="4DCF16DC">
              <w:rPr>
                <w:rFonts w:eastAsiaTheme="minorEastAsia"/>
                <w:sz w:val="18"/>
                <w:szCs w:val="18"/>
                <w:lang w:eastAsia="hr-HR"/>
              </w:rPr>
              <w:t>Jesu li programi intervencija za poboljšanje mentalnog zdravlja djece i adolescenata efikasni u 1) smanjuju stigmu povezane s mentalnim bolestima i/ili 2) dugoročnom poboljšavanju MZP-a?</w:t>
            </w:r>
          </w:p>
        </w:tc>
      </w:tr>
      <w:tr w:rsidR="5AB0C6CE" w14:paraId="6B7FDB37" w14:textId="77777777" w:rsidTr="4DCF16DC">
        <w:trPr>
          <w:trHeight w:val="300"/>
        </w:trPr>
        <w:tc>
          <w:tcPr>
            <w:tcW w:w="2837" w:type="dxa"/>
          </w:tcPr>
          <w:p w14:paraId="7EE3F95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7BF5C97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C3AA126" w14:textId="5BAE546D" w:rsidR="35D55BD6" w:rsidRDefault="0A56F2A4"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 Edukacijske intervencije dovele su do značajno </w:t>
            </w:r>
            <w:r w:rsidR="5F1EB0C5" w:rsidRPr="4DCF16DC">
              <w:rPr>
                <w:rFonts w:eastAsiaTheme="minorEastAsia"/>
                <w:sz w:val="18"/>
                <w:szCs w:val="18"/>
                <w:lang w:eastAsia="hr-HR"/>
              </w:rPr>
              <w:t>duljeg</w:t>
            </w:r>
            <w:r w:rsidRPr="4DCF16DC">
              <w:rPr>
                <w:rFonts w:eastAsiaTheme="minorEastAsia"/>
                <w:sz w:val="18"/>
                <w:szCs w:val="18"/>
                <w:lang w:eastAsia="hr-HR"/>
              </w:rPr>
              <w:t xml:space="preserve"> </w:t>
            </w:r>
            <w:r w:rsidR="2ADD1653" w:rsidRPr="4DCF16DC">
              <w:rPr>
                <w:rFonts w:eastAsiaTheme="minorEastAsia"/>
                <w:sz w:val="18"/>
                <w:szCs w:val="18"/>
                <w:lang w:eastAsia="hr-HR"/>
              </w:rPr>
              <w:t>o</w:t>
            </w:r>
            <w:r w:rsidRPr="4DCF16DC">
              <w:rPr>
                <w:rFonts w:eastAsiaTheme="minorEastAsia"/>
                <w:sz w:val="18"/>
                <w:szCs w:val="18"/>
                <w:lang w:eastAsia="hr-HR"/>
              </w:rPr>
              <w:t>državanja znanja u usporedbi s intervencijama koje su kombinirale edukaciju i kontakt s osobama s iskustvom mentalne bolesti. Jedno randomizirano istraživanje, koje je u ovom pregledu isključeno iz meta-analize zbog izostanka kontrolne skupine, uspoređivalo je isključivo edukacijsku intervenciju s intervencijom koja je kombinirala edukaciju i kontakt. Sadržaj edukacijskog dijela bio je identičan u obje intervencije, osim kratkog segmenta o povijesti mentalnih bolesti koji je u edukacijskoj skupini zamijenio osobni kontakt. Unatoč velikom preklapanju sadržaja, edukacijska intervencija pokazala se učinkovitijom u poboljšanju MZP-a (prepoznavanje mentalnog poremećaja na temelju vinjete) i znanja, ali ne i u smanjenju stigmatizirajućih stavova. Intervencija koja je uključivala edukaciju i kontakt nije dovela do značajnijeg smanjenja stigme u usporedbi s edukacijskom intervencijom.</w:t>
            </w:r>
          </w:p>
          <w:p w14:paraId="56D8A9A0" w14:textId="3925B6D3" w:rsidR="35D55BD6" w:rsidRDefault="3966C49E" w:rsidP="4DCF16DC">
            <w:pPr>
              <w:spacing w:after="0" w:line="240" w:lineRule="auto"/>
              <w:rPr>
                <w:rFonts w:eastAsiaTheme="minorEastAsia"/>
                <w:sz w:val="18"/>
                <w:szCs w:val="18"/>
                <w:lang w:eastAsia="hr-HR"/>
              </w:rPr>
            </w:pPr>
            <w:r w:rsidRPr="4DCF16DC">
              <w:rPr>
                <w:rFonts w:eastAsiaTheme="minorEastAsia"/>
                <w:sz w:val="18"/>
                <w:szCs w:val="18"/>
                <w:lang w:eastAsia="hr-HR"/>
              </w:rPr>
              <w:t>- Rezultati za varijablu stigme u edukacijskoj skupini nisu bili značajno lošiji u usporedbi s edukacijom uz kontakt. To je donekle iznenađujuće u odnosu na ranija istraživanja, jer jedan pregled literature pokazuje da su kod adolescenata (za razliku od odraslih) edukacijske intervencije učinkovitije u smanjenju stigme nego kontaktne intervencije.</w:t>
            </w:r>
          </w:p>
          <w:p w14:paraId="00787FD9" w14:textId="073631B1" w:rsidR="35D55BD6" w:rsidRDefault="3966C49E" w:rsidP="4DCF16DC">
            <w:pPr>
              <w:spacing w:after="0" w:line="240" w:lineRule="auto"/>
              <w:rPr>
                <w:rFonts w:eastAsiaTheme="minorEastAsia"/>
                <w:sz w:val="18"/>
                <w:szCs w:val="18"/>
                <w:lang w:eastAsia="hr-HR"/>
              </w:rPr>
            </w:pPr>
            <w:r w:rsidRPr="4DCF16DC">
              <w:rPr>
                <w:rFonts w:eastAsiaTheme="minorEastAsia"/>
                <w:sz w:val="18"/>
                <w:szCs w:val="18"/>
                <w:lang w:eastAsia="hr-HR"/>
              </w:rPr>
              <w:t>- Dulje razdoblje do ponovnog testiranja nije bilo povezano s lošijim rezultatima, što upućuje na stabilnost zadržavanja znanja i promjena stavova. Može se pretpostaviti da su učinci intervencija stabilni unutar raspona praćenja identificiranih u istraživanjima, do maksimalno dvije godine.</w:t>
            </w:r>
          </w:p>
          <w:p w14:paraId="264F6DAD" w14:textId="4EC92024" w:rsidR="35D55BD6" w:rsidRDefault="3966C49E" w:rsidP="4DCF16DC">
            <w:pPr>
              <w:spacing w:after="0" w:line="240" w:lineRule="auto"/>
              <w:rPr>
                <w:rFonts w:eastAsiaTheme="minorEastAsia"/>
                <w:sz w:val="18"/>
                <w:szCs w:val="18"/>
                <w:lang w:eastAsia="hr-HR"/>
              </w:rPr>
            </w:pPr>
            <w:r w:rsidRPr="4DCF16DC">
              <w:rPr>
                <w:rFonts w:eastAsiaTheme="minorEastAsia"/>
                <w:sz w:val="18"/>
                <w:szCs w:val="18"/>
                <w:lang w:eastAsia="hr-HR"/>
              </w:rPr>
              <w:t>- Unatoč fokusu na dugoročne ishode, mjerenja su se u prosjeku provodila pet mjeseci nakon intervencije, što onemogućuje procjenu učinaka nakon tog razdoblja. Stoga je potrebno utvrditi koliko dugo se učinci intervencija održavaju kroz dulja razdoblja praćenja te je li jedna intervencija dovoljna ili bi intervencije trebalo provoditi redovito.</w:t>
            </w:r>
          </w:p>
        </w:tc>
      </w:tr>
      <w:tr w:rsidR="5AB0C6CE" w14:paraId="08076545" w14:textId="77777777" w:rsidTr="4DCF16DC">
        <w:trPr>
          <w:trHeight w:val="300"/>
        </w:trPr>
        <w:tc>
          <w:tcPr>
            <w:tcW w:w="2837" w:type="dxa"/>
          </w:tcPr>
          <w:p w14:paraId="35D7270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65D7F5A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013C8D8B" w14:textId="45BCF5A6" w:rsidR="536DA2BC" w:rsidRDefault="26F84F58" w:rsidP="4DCF16DC">
            <w:pPr>
              <w:spacing w:after="0" w:line="240" w:lineRule="auto"/>
              <w:rPr>
                <w:rFonts w:eastAsiaTheme="minorEastAsia"/>
                <w:sz w:val="18"/>
                <w:szCs w:val="18"/>
                <w:lang w:eastAsia="hr-HR"/>
              </w:rPr>
            </w:pPr>
            <w:r w:rsidRPr="4DCF16DC">
              <w:rPr>
                <w:rFonts w:eastAsiaTheme="minorEastAsia"/>
                <w:sz w:val="18"/>
                <w:szCs w:val="18"/>
                <w:lang w:eastAsia="hr-HR"/>
              </w:rPr>
              <w:t>Intervencije koje uključuju školsko osoblje unutar školskog okruženja prikladna su i učinkovita opcija.</w:t>
            </w:r>
            <w:r w:rsidR="2D260C4C" w:rsidRPr="4DCF16DC">
              <w:rPr>
                <w:rFonts w:eastAsiaTheme="minorEastAsia"/>
                <w:sz w:val="18"/>
                <w:szCs w:val="18"/>
                <w:lang w:eastAsia="hr-HR"/>
              </w:rPr>
              <w:t xml:space="preserve"> Rezultati ukazuju na to da bi okosnica programa trebala biti edukacijska intervencija. Istraživanja pokazuju da sama po sebi može biti ili jednako učinkovita ili učinkovitija u odnosu na intervencije koje uključuju kontakt s osobama koje su imale iskustvo mentalnih poremećaja. O ovome bi trebalo raspraviti jer neki autori napominju da takav kontakt dovodi do razvoja empatije pa potom i do manje stigmatizacije. Stabilnost učinaka do dvije godine ukazuju na potencijal intervencije za dugotrajnije zadržavanje znanja i promjenu stavova kod učenika. Nadalje, s obzirom na to da su drugi autori dugoročne učinke pratili u prosjeku pet mjeseci nakon provedene intervencije, važnim se čini, ako to bude moguće u sklopu projekta, dugoročnije praćenje ishoda.</w:t>
            </w:r>
          </w:p>
        </w:tc>
      </w:tr>
      <w:tr w:rsidR="5AB0C6CE" w14:paraId="224D3BB1" w14:textId="77777777" w:rsidTr="4DCF16DC">
        <w:trPr>
          <w:trHeight w:val="300"/>
        </w:trPr>
        <w:tc>
          <w:tcPr>
            <w:tcW w:w="2837" w:type="dxa"/>
          </w:tcPr>
          <w:p w14:paraId="5C9D1A6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0F7B2955" w14:textId="77777777" w:rsidR="5AB0C6CE" w:rsidRDefault="5AB0C6CE" w:rsidP="4DCF16DC">
            <w:pPr>
              <w:spacing w:after="0" w:line="240" w:lineRule="auto"/>
              <w:rPr>
                <w:rFonts w:eastAsiaTheme="minorEastAsia"/>
                <w:sz w:val="18"/>
                <w:szCs w:val="18"/>
                <w:lang w:eastAsia="hr-HR"/>
              </w:rPr>
            </w:pPr>
          </w:p>
        </w:tc>
      </w:tr>
    </w:tbl>
    <w:p w14:paraId="1BFA7D2A" w14:textId="6E4E9F8E" w:rsidR="5AB0C6CE" w:rsidRDefault="5AB0C6CE"/>
    <w:p w14:paraId="3E7D35FD" w14:textId="57151919" w:rsidR="5AB0C6CE" w:rsidRDefault="5AB0C6CE"/>
    <w:p w14:paraId="64C6F985" w14:textId="66EEAC60" w:rsidR="4DCF16DC" w:rsidRDefault="4DCF16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1BFFD634" w14:textId="77777777" w:rsidTr="4DCF16DC">
        <w:trPr>
          <w:trHeight w:val="300"/>
        </w:trPr>
        <w:tc>
          <w:tcPr>
            <w:tcW w:w="2837" w:type="dxa"/>
          </w:tcPr>
          <w:p w14:paraId="69EB7FFE" w14:textId="6BF5EEF0"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25376480" w14:textId="53D81752" w:rsidR="710169FC" w:rsidRDefault="7202ECC6" w:rsidP="4DCF16DC">
            <w:pPr>
              <w:spacing w:after="0" w:line="240" w:lineRule="auto"/>
              <w:rPr>
                <w:rFonts w:eastAsiaTheme="minorEastAsia"/>
                <w:sz w:val="18"/>
                <w:szCs w:val="18"/>
                <w:lang w:val="en-US"/>
              </w:rPr>
            </w:pPr>
            <w:r w:rsidRPr="4DCF16DC">
              <w:rPr>
                <w:rFonts w:eastAsiaTheme="minorEastAsia"/>
                <w:color w:val="212121"/>
                <w:sz w:val="18"/>
                <w:szCs w:val="18"/>
                <w:lang w:val="en-US"/>
              </w:rPr>
              <w:t xml:space="preserve">Morris, A. C., Seker, A., Telesia, L., Wickersham, A., Ching, B. C., Roy, R., Epstein, S., Matcham, F., Sonuga-Barke, E., &amp; Downs, J. (2025). Adherence to Actigraphic Devices in Elementary School-Aged Children: Systematic Review and Meta-Analysis. </w:t>
            </w:r>
            <w:r w:rsidRPr="4DCF16DC">
              <w:rPr>
                <w:rFonts w:eastAsiaTheme="minorEastAsia"/>
                <w:i/>
                <w:iCs/>
                <w:color w:val="212121"/>
                <w:sz w:val="18"/>
                <w:szCs w:val="18"/>
                <w:lang w:val="en-US"/>
              </w:rPr>
              <w:t>Journal of medical Internet research</w:t>
            </w:r>
            <w:r w:rsidRPr="4DCF16DC">
              <w:rPr>
                <w:rFonts w:eastAsiaTheme="minorEastAsia"/>
                <w:color w:val="212121"/>
                <w:sz w:val="18"/>
                <w:szCs w:val="18"/>
                <w:lang w:val="en-US"/>
              </w:rPr>
              <w:t xml:space="preserve">, </w:t>
            </w:r>
            <w:r w:rsidRPr="4DCF16DC">
              <w:rPr>
                <w:rFonts w:eastAsiaTheme="minorEastAsia"/>
                <w:i/>
                <w:iCs/>
                <w:color w:val="212121"/>
                <w:sz w:val="18"/>
                <w:szCs w:val="18"/>
                <w:lang w:val="en-US"/>
              </w:rPr>
              <w:t>27</w:t>
            </w:r>
            <w:r w:rsidRPr="4DCF16DC">
              <w:rPr>
                <w:rFonts w:eastAsiaTheme="minorEastAsia"/>
                <w:color w:val="212121"/>
                <w:sz w:val="18"/>
                <w:szCs w:val="18"/>
                <w:lang w:val="en-US"/>
              </w:rPr>
              <w:t>, e79718. https://doi.org/10.2196/79718</w:t>
            </w:r>
          </w:p>
        </w:tc>
      </w:tr>
      <w:tr w:rsidR="5AB0C6CE" w14:paraId="3FD19286" w14:textId="77777777" w:rsidTr="4DCF16DC">
        <w:trPr>
          <w:trHeight w:val="300"/>
        </w:trPr>
        <w:tc>
          <w:tcPr>
            <w:tcW w:w="2837" w:type="dxa"/>
          </w:tcPr>
          <w:p w14:paraId="53A290D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63B2FB09" w14:textId="7784D9DE" w:rsidR="65181B0B" w:rsidRDefault="279790ED" w:rsidP="4DCF16DC">
            <w:pPr>
              <w:spacing w:after="0" w:line="240" w:lineRule="auto"/>
              <w:rPr>
                <w:rFonts w:eastAsiaTheme="minorEastAsia"/>
                <w:sz w:val="18"/>
                <w:szCs w:val="18"/>
                <w:lang w:val="en-US" w:eastAsia="hr-HR"/>
              </w:rPr>
            </w:pPr>
            <w:r w:rsidRPr="4DCF16DC">
              <w:rPr>
                <w:rFonts w:eastAsiaTheme="minorEastAsia"/>
                <w:sz w:val="18"/>
                <w:szCs w:val="18"/>
                <w:lang w:val="en-US" w:eastAsia="hr-HR"/>
              </w:rPr>
              <w:t>https://pubmed.ncbi.nlm.nih.gov/41183377/</w:t>
            </w:r>
          </w:p>
        </w:tc>
      </w:tr>
      <w:tr w:rsidR="5AB0C6CE" w14:paraId="59E64B5F" w14:textId="77777777" w:rsidTr="4DCF16DC">
        <w:trPr>
          <w:trHeight w:val="300"/>
        </w:trPr>
        <w:tc>
          <w:tcPr>
            <w:tcW w:w="2837" w:type="dxa"/>
          </w:tcPr>
          <w:p w14:paraId="565194B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2AF50A20" w14:textId="73CF3CC1" w:rsidR="6DE7C141" w:rsidRDefault="3033502F" w:rsidP="4DCF16DC">
            <w:pPr>
              <w:spacing w:after="0" w:line="240" w:lineRule="auto"/>
              <w:rPr>
                <w:rFonts w:eastAsiaTheme="minorEastAsia"/>
                <w:sz w:val="18"/>
                <w:szCs w:val="18"/>
                <w:lang w:eastAsia="hr-HR"/>
              </w:rPr>
            </w:pPr>
            <w:r w:rsidRPr="4DCF16DC">
              <w:rPr>
                <w:rFonts w:eastAsiaTheme="minorEastAsia"/>
                <w:sz w:val="18"/>
                <w:szCs w:val="18"/>
                <w:lang w:eastAsia="hr-HR"/>
              </w:rPr>
              <w:t>Validacija TP</w:t>
            </w:r>
          </w:p>
        </w:tc>
      </w:tr>
      <w:tr w:rsidR="5AB0C6CE" w14:paraId="02720A8F" w14:textId="77777777" w:rsidTr="4DCF16DC">
        <w:trPr>
          <w:trHeight w:val="300"/>
        </w:trPr>
        <w:tc>
          <w:tcPr>
            <w:tcW w:w="2837" w:type="dxa"/>
          </w:tcPr>
          <w:p w14:paraId="22021A28"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4B0F11FF" w14:textId="5A2290C6" w:rsidR="409A8645" w:rsidRDefault="1957A8BA" w:rsidP="4DCF16DC">
            <w:pPr>
              <w:spacing w:after="0" w:line="240" w:lineRule="auto"/>
              <w:rPr>
                <w:rFonts w:eastAsiaTheme="minorEastAsia"/>
                <w:sz w:val="18"/>
                <w:szCs w:val="18"/>
                <w:lang w:eastAsia="hr-HR"/>
              </w:rPr>
            </w:pPr>
            <w:r w:rsidRPr="4DCF16DC">
              <w:rPr>
                <w:rFonts w:eastAsiaTheme="minorEastAsia"/>
                <w:sz w:val="18"/>
                <w:szCs w:val="18"/>
                <w:lang w:eastAsia="hr-HR"/>
              </w:rPr>
              <w:t>Maroje</w:t>
            </w:r>
            <w:r w:rsidR="0B68F21E" w:rsidRPr="4DCF16DC">
              <w:rPr>
                <w:rFonts w:eastAsiaTheme="minorEastAsia"/>
                <w:sz w:val="18"/>
                <w:szCs w:val="18"/>
                <w:lang w:eastAsia="hr-HR"/>
              </w:rPr>
              <w:t xml:space="preserve"> Sorić</w:t>
            </w:r>
          </w:p>
        </w:tc>
      </w:tr>
      <w:tr w:rsidR="5AB0C6CE" w14:paraId="30A26E96" w14:textId="77777777" w:rsidTr="4DCF16DC">
        <w:trPr>
          <w:trHeight w:val="300"/>
        </w:trPr>
        <w:tc>
          <w:tcPr>
            <w:tcW w:w="2837" w:type="dxa"/>
          </w:tcPr>
          <w:p w14:paraId="4D22E73A"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A080FA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211DB12"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0DE21D10"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771CBC3B"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57AC8A51" w14:textId="5AF6E503" w:rsidR="53ED2C53" w:rsidRDefault="350016D9"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5AB0C6CE" w14:paraId="1295F2D7" w14:textId="77777777" w:rsidTr="4DCF16DC">
        <w:trPr>
          <w:trHeight w:val="300"/>
        </w:trPr>
        <w:tc>
          <w:tcPr>
            <w:tcW w:w="2837" w:type="dxa"/>
          </w:tcPr>
          <w:p w14:paraId="4CEBF67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38CA46E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4FAEDA74" w14:textId="3B1EA9E0"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Background:Consistent wear is essential for valid and reliable actigraphy data. Adherence to actigraphy may be challenging in primary school children due to developmental and design considerations, yet no quantitative synthesis of adherence in this age group exists.</w:t>
            </w:r>
            <w:r w:rsidR="17309E3D">
              <w:br/>
            </w:r>
          </w:p>
          <w:p w14:paraId="5658DD1D" w14:textId="733D5218"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Objective:The aim of this study was to provide the first pooled estimate of actigraphy adherence in primary school–aged children and examine the impact of individual, device, and study-specific factors on adherence.</w:t>
            </w:r>
            <w:r w:rsidR="17309E3D">
              <w:br/>
            </w:r>
          </w:p>
          <w:p w14:paraId="3A23934C" w14:textId="17F2B38F"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Methods:We searched seven electronic databases for studies reporting adherence to actigraphy in primary school–aged children. Searches were conducted in Embase, MEDLINE, PsycINFO, Social Policy and Practice via OVID, Education Resources Information Center, British Education Index, and CINAHL via EBSCO using database-specific search strategies conducted between January 2018 and January 24, 2023. Forward and backward citation searches were completed on the Web of Science Core Collection and Google Scholar. Gray literature searches were undertaken in PsycEXTRA and Healthcare Management Information Consortium. Empirical studies reporting quantitative data on adherence to community-based actigraphy in children aged 5‐11 years (or if ≥50% of the average age fell within this range) were included. Eligible studies were written in English and could be published or unpublished. Risk of bias was assessed using an 8-item checklist adapted from Berger et al’s actigraphy reporting standards. All included studies were narratively synthesized, and adherence data were pooled in a proportional meta-analysis. Adherence was calculated as the proportion of children meeting wear-time criteria to be included in the analysis compared to the number of children invited to use the device at baseline. Meta-regression was used to examine the impact of individual, device, and study-specific factors on adherence. Prediction intervals were calculated to estimate the range of adherence expected across future studies.</w:t>
            </w:r>
            <w:r w:rsidR="17309E3D">
              <w:br/>
            </w:r>
          </w:p>
          <w:p w14:paraId="28DCEDF0" w14:textId="0D07D2AC"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Results:Data were extracted from 235 studies (N=148,161); of these, 135 studies (n=64,541) provided adherence data for proportional meta-analysis. Pooled adherence, measured across 1‐140 days, was 81.6% (95% CI 78.7%‐84.4%; I2=98.8%). The prediction intervals (42.8%-100%) indicated substantial variability in adherence estimates across studies. Meta-regression suggested that individual characteristics contributed to observed heterogeneity as children with a physical health diagnosis (b=0.236, 95% CI 0.009-0.464; P=.04) and those with neurodevelopmental or mental health diagnosis (b=0.395, 95% CI 0.125-0.665; P=.004) demonstrated higher adherence than undiagnosed children, though these effects were of modest magnitude. No significant effects were found for age, placement, protocol length, protocol deviation, or incentivization. Reporting quality was poor, with only 3.4% of studies satisfying all criteria.</w:t>
            </w:r>
            <w:r w:rsidR="17309E3D">
              <w:br/>
            </w:r>
          </w:p>
          <w:p w14:paraId="0FC2CBF3" w14:textId="22F8747F"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Conclusions:This review demonstrates generally high actigraphy adherence in primary school–aged children, particularly those with health conditions. However, observed variability indicates that adherence was much lower in some contexts, underscoring that the reported pooled adherence cannot be assumed across future actigraphy applications within this age group. Future research should use standardized adherence reporting and should plan for adherence variability.</w:t>
            </w:r>
            <w:r w:rsidR="17309E3D">
              <w:br/>
            </w:r>
          </w:p>
          <w:p w14:paraId="488D1996" w14:textId="1002E517" w:rsidR="17309E3D" w:rsidRDefault="2363630F" w:rsidP="4DCF16DC">
            <w:pPr>
              <w:spacing w:after="0" w:line="240" w:lineRule="auto"/>
              <w:rPr>
                <w:rFonts w:eastAsiaTheme="minorEastAsia"/>
                <w:sz w:val="18"/>
                <w:szCs w:val="18"/>
                <w:lang w:eastAsia="hr-HR"/>
              </w:rPr>
            </w:pPr>
            <w:r w:rsidRPr="4DCF16DC">
              <w:rPr>
                <w:rFonts w:eastAsiaTheme="minorEastAsia"/>
                <w:sz w:val="18"/>
                <w:szCs w:val="18"/>
                <w:lang w:eastAsia="hr-HR"/>
              </w:rPr>
              <w:t>Trial Registration:PROSPERO CRD42021232466; https://www.crd.york.ac.uk/PROSPERO/view/CRD42021232466</w:t>
            </w:r>
          </w:p>
          <w:p w14:paraId="7418894F" w14:textId="67F0D54F" w:rsidR="5AB0C6CE" w:rsidRDefault="5AB0C6CE" w:rsidP="4DCF16DC">
            <w:pPr>
              <w:spacing w:after="0" w:line="240" w:lineRule="auto"/>
              <w:rPr>
                <w:rFonts w:eastAsiaTheme="minorEastAsia"/>
                <w:sz w:val="18"/>
                <w:szCs w:val="18"/>
                <w:lang w:eastAsia="hr-HR"/>
              </w:rPr>
            </w:pPr>
          </w:p>
        </w:tc>
      </w:tr>
      <w:tr w:rsidR="5AB0C6CE" w14:paraId="1CE08DFD" w14:textId="77777777" w:rsidTr="4DCF16DC">
        <w:trPr>
          <w:trHeight w:val="300"/>
        </w:trPr>
        <w:tc>
          <w:tcPr>
            <w:tcW w:w="2837" w:type="dxa"/>
          </w:tcPr>
          <w:p w14:paraId="0B4809D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28B5B5F5" w14:textId="3A2BF18C" w:rsidR="70B52062" w:rsidRDefault="67144206" w:rsidP="4DCF16DC">
            <w:pPr>
              <w:spacing w:after="0" w:line="240" w:lineRule="auto"/>
              <w:rPr>
                <w:rFonts w:eastAsiaTheme="minorEastAsia"/>
                <w:sz w:val="18"/>
                <w:szCs w:val="18"/>
                <w:lang w:val="en-US" w:eastAsia="hr-HR"/>
              </w:rPr>
            </w:pPr>
            <w:r w:rsidRPr="4DCF16DC">
              <w:rPr>
                <w:rFonts w:eastAsiaTheme="minorEastAsia"/>
                <w:sz w:val="18"/>
                <w:szCs w:val="18"/>
                <w:lang w:val="en-US" w:eastAsia="hr-HR"/>
              </w:rPr>
              <w:t xml:space="preserve">actigraphy (51); adherence (380); children (552); ambulatory monitoring (18); fitness trackers (80); telemedicine (1787); sleep (272); motor activity (12)  </w:t>
            </w:r>
          </w:p>
        </w:tc>
      </w:tr>
      <w:tr w:rsidR="5AB0C6CE" w14:paraId="08DB9495" w14:textId="77777777" w:rsidTr="4DCF16DC">
        <w:trPr>
          <w:trHeight w:val="300"/>
        </w:trPr>
        <w:tc>
          <w:tcPr>
            <w:tcW w:w="2837" w:type="dxa"/>
          </w:tcPr>
          <w:p w14:paraId="70ED7CB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7B115218" w14:textId="7794C322" w:rsidR="49AE6B79" w:rsidRDefault="3319B683" w:rsidP="4DCF16DC">
            <w:pPr>
              <w:spacing w:after="0" w:line="240" w:lineRule="auto"/>
              <w:rPr>
                <w:rFonts w:eastAsiaTheme="minorEastAsia"/>
                <w:sz w:val="18"/>
                <w:szCs w:val="18"/>
                <w:lang w:val="en-US" w:eastAsia="hr-HR"/>
              </w:rPr>
            </w:pPr>
            <w:r w:rsidRPr="4DCF16DC">
              <w:rPr>
                <w:rFonts w:eastAsiaTheme="minorEastAsia"/>
                <w:sz w:val="18"/>
                <w:szCs w:val="18"/>
                <w:lang w:val="en-US" w:eastAsia="hr-HR"/>
              </w:rPr>
              <w:t xml:space="preserve">Meta analiza koja je uključila </w:t>
            </w:r>
            <w:r w:rsidR="1C46FD11" w:rsidRPr="4DCF16DC">
              <w:rPr>
                <w:rFonts w:eastAsiaTheme="minorEastAsia"/>
                <w:sz w:val="18"/>
                <w:szCs w:val="18"/>
                <w:lang w:val="en-US" w:eastAsia="hr-HR"/>
              </w:rPr>
              <w:t>235</w:t>
            </w:r>
            <w:r w:rsidRPr="4DCF16DC">
              <w:rPr>
                <w:rFonts w:eastAsiaTheme="minorEastAsia"/>
                <w:sz w:val="18"/>
                <w:szCs w:val="18"/>
                <w:lang w:val="en-US" w:eastAsia="hr-HR"/>
              </w:rPr>
              <w:t xml:space="preserve"> studija s djecom</w:t>
            </w:r>
            <w:r w:rsidR="5E62804D" w:rsidRPr="4DCF16DC">
              <w:rPr>
                <w:rFonts w:eastAsiaTheme="minorEastAsia"/>
                <w:sz w:val="18"/>
                <w:szCs w:val="18"/>
                <w:lang w:val="en-US" w:eastAsia="hr-HR"/>
              </w:rPr>
              <w:t xml:space="preserve"> (od kojih 135 za proporecijalnu meta-analizu)</w:t>
            </w:r>
            <w:r w:rsidRPr="4DCF16DC">
              <w:rPr>
                <w:rFonts w:eastAsiaTheme="minorEastAsia"/>
                <w:sz w:val="18"/>
                <w:szCs w:val="18"/>
                <w:lang w:val="en-US" w:eastAsia="hr-HR"/>
              </w:rPr>
              <w:t>. Empirical studies reporting quantitative data on adherence to community-based actigraphy in children aged 5‐11 years (or if ≥50% of the average age fell within this range) were included.</w:t>
            </w:r>
          </w:p>
        </w:tc>
      </w:tr>
      <w:tr w:rsidR="5AB0C6CE" w14:paraId="54B6702C" w14:textId="77777777" w:rsidTr="4DCF16DC">
        <w:trPr>
          <w:trHeight w:val="300"/>
        </w:trPr>
        <w:tc>
          <w:tcPr>
            <w:tcW w:w="2837" w:type="dxa"/>
          </w:tcPr>
          <w:p w14:paraId="7A471A8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5B4F490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1C991F5" w14:textId="5E531DD2" w:rsidR="13C66FE7" w:rsidRDefault="13CE15E7" w:rsidP="4DCF16DC">
            <w:pPr>
              <w:spacing w:before="240" w:after="240" w:line="240" w:lineRule="auto"/>
              <w:rPr>
                <w:rFonts w:eastAsiaTheme="minorEastAsia"/>
                <w:sz w:val="18"/>
                <w:szCs w:val="18"/>
              </w:rPr>
            </w:pPr>
            <w:r w:rsidRPr="4DCF16DC">
              <w:rPr>
                <w:rFonts w:eastAsiaTheme="minorEastAsia"/>
                <w:sz w:val="18"/>
                <w:szCs w:val="18"/>
              </w:rPr>
              <w:t>Incentivizacija je prijavljena u samo 7,2 % studija (tj. novčane nagrade, vaučeri ili naljepnice). Ostale strategije za poboljšanje pridržavanja uključivale su detaljne upute (8,5 %), vođenje dnevnika nošenja uređaja (7,7 %) i podsjetnike, tj. putem poruka, telefona ili osobno (6,4 %).</w:t>
            </w:r>
          </w:p>
          <w:p w14:paraId="350691A5" w14:textId="0929A5B9" w:rsidR="13C66FE7" w:rsidRDefault="13CE15E7" w:rsidP="4DCF16DC">
            <w:pPr>
              <w:spacing w:before="240" w:after="240" w:line="240" w:lineRule="auto"/>
              <w:rPr>
                <w:rFonts w:eastAsiaTheme="minorEastAsia"/>
                <w:sz w:val="18"/>
                <w:szCs w:val="18"/>
              </w:rPr>
            </w:pPr>
            <w:r w:rsidRPr="4DCF16DC">
              <w:rPr>
                <w:rFonts w:eastAsiaTheme="minorEastAsia"/>
                <w:sz w:val="18"/>
                <w:szCs w:val="18"/>
              </w:rPr>
              <w:t>Individualne stope pridržavanja pokazale su značajnu varijabilnost, u rasponu od 24,9 % do 100 %, s objednjenom procjenom od 81,6 % (95 % CI 78,7 %–84,4 %) i značajnom heterogenošću (I² = 98,8 %; τ² = 0,17). Intervali predviđanja kretali su se od 42,8 % do 100 %, što ukazuje na varijabilnost među različitim kontekstima studija.</w:t>
            </w:r>
          </w:p>
          <w:p w14:paraId="165CEADB" w14:textId="73E1251E" w:rsidR="13C66FE7" w:rsidRDefault="13CE15E7" w:rsidP="4DCF16DC">
            <w:pPr>
              <w:spacing w:before="240" w:after="240" w:line="240" w:lineRule="auto"/>
              <w:rPr>
                <w:rFonts w:eastAsiaTheme="minorEastAsia"/>
                <w:sz w:val="18"/>
                <w:szCs w:val="18"/>
              </w:rPr>
            </w:pPr>
            <w:r w:rsidRPr="4DCF16DC">
              <w:rPr>
                <w:rFonts w:eastAsiaTheme="minorEastAsia"/>
                <w:sz w:val="18"/>
                <w:szCs w:val="18"/>
              </w:rPr>
              <w:t>Univarijatna meta-regresija nije pokazala značajnu povezanost između stopa pridržavanja i dobi, uređaja (namjena i položaj) ili dizajna studije (duljina protokola, odstupanje od duljine protokola i incentivizacija). Međutim, sudionici s zdravstvenim dijagnozama pokazali su značajno veće pridržavanje korištenju aktigrafa (b = 0,236, P = 0,042, 95 % CI 0,009–0,464), kao i djeca s neurološkim razvojnim ili mentalnim zdravstvenim dijagnozama (b = 0,395, P = 0,004, 95 % CI 0,125–0,665).</w:t>
            </w:r>
          </w:p>
        </w:tc>
      </w:tr>
      <w:tr w:rsidR="5AB0C6CE" w14:paraId="63175631" w14:textId="77777777" w:rsidTr="4DCF16DC">
        <w:trPr>
          <w:trHeight w:val="300"/>
        </w:trPr>
        <w:tc>
          <w:tcPr>
            <w:tcW w:w="2837" w:type="dxa"/>
          </w:tcPr>
          <w:p w14:paraId="22D718E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658678E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6D0139AE" w14:textId="215A1BC3" w:rsidR="580CF0B6" w:rsidRDefault="2967BCCB" w:rsidP="4DCF16DC">
            <w:pPr>
              <w:spacing w:after="0" w:line="240" w:lineRule="auto"/>
              <w:rPr>
                <w:rFonts w:eastAsiaTheme="minorEastAsia"/>
                <w:sz w:val="18"/>
                <w:szCs w:val="18"/>
                <w:lang w:eastAsia="hr-HR"/>
              </w:rPr>
            </w:pPr>
            <w:r w:rsidRPr="4DCF16DC">
              <w:rPr>
                <w:rFonts w:eastAsiaTheme="minorEastAsia"/>
                <w:sz w:val="18"/>
                <w:szCs w:val="18"/>
                <w:lang w:eastAsia="hr-HR"/>
              </w:rPr>
              <w:t>Može poslužiti za procjenu adherencije kod mjerenja TA i povezano ospianje uzorka. Prosječna adherencija je bila 80%</w:t>
            </w:r>
          </w:p>
        </w:tc>
      </w:tr>
      <w:tr w:rsidR="5AB0C6CE" w14:paraId="69815330" w14:textId="77777777" w:rsidTr="4DCF16DC">
        <w:trPr>
          <w:trHeight w:val="300"/>
        </w:trPr>
        <w:tc>
          <w:tcPr>
            <w:tcW w:w="2837" w:type="dxa"/>
          </w:tcPr>
          <w:p w14:paraId="1E20A82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67D4DE75" w14:textId="77777777" w:rsidR="5AB0C6CE" w:rsidRDefault="5AB0C6CE" w:rsidP="4DCF16DC">
            <w:pPr>
              <w:spacing w:after="0" w:line="240" w:lineRule="auto"/>
              <w:rPr>
                <w:rFonts w:eastAsiaTheme="minorEastAsia"/>
                <w:sz w:val="18"/>
                <w:szCs w:val="18"/>
                <w:lang w:eastAsia="hr-HR"/>
              </w:rPr>
            </w:pPr>
          </w:p>
        </w:tc>
      </w:tr>
    </w:tbl>
    <w:p w14:paraId="6BF3DD5F" w14:textId="3A0D0777" w:rsidR="5AB0C6CE" w:rsidRDefault="5AB0C6CE"/>
    <w:p w14:paraId="49691CE0" w14:textId="39E44520"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06A901CF" w14:textId="77777777" w:rsidTr="4DCF16DC">
        <w:trPr>
          <w:trHeight w:val="300"/>
        </w:trPr>
        <w:tc>
          <w:tcPr>
            <w:tcW w:w="2837" w:type="dxa"/>
          </w:tcPr>
          <w:p w14:paraId="585D2BBE" w14:textId="4A992444"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6BDA8354" w14:textId="3DF4EE70" w:rsidR="51152600" w:rsidRDefault="295E414C" w:rsidP="4DCF16DC">
            <w:pPr>
              <w:spacing w:after="0" w:line="240" w:lineRule="auto"/>
              <w:rPr>
                <w:rFonts w:eastAsiaTheme="minorEastAsia"/>
                <w:sz w:val="18"/>
                <w:szCs w:val="18"/>
                <w:lang w:val="en-US"/>
              </w:rPr>
            </w:pPr>
            <w:r w:rsidRPr="4DCF16DC">
              <w:rPr>
                <w:rFonts w:eastAsiaTheme="minorEastAsia"/>
                <w:sz w:val="18"/>
                <w:szCs w:val="18"/>
                <w:lang w:val="en-US"/>
              </w:rPr>
              <w:t xml:space="preserve">Kim, Y., Beets, M. W., &amp; Welk, G. J. (2012). </w:t>
            </w:r>
            <w:r w:rsidRPr="4DCF16DC">
              <w:rPr>
                <w:rFonts w:eastAsiaTheme="minorEastAsia"/>
                <w:i/>
                <w:iCs/>
                <w:sz w:val="18"/>
                <w:szCs w:val="18"/>
                <w:lang w:val="en-US"/>
              </w:rPr>
              <w:t>Everything you wanted to know about selecting the “right” Actigraph accelerometer cut‑points for youth, but…: A systematic review.</w:t>
            </w:r>
            <w:r w:rsidRPr="4DCF16DC">
              <w:rPr>
                <w:rFonts w:eastAsiaTheme="minorEastAsia"/>
                <w:sz w:val="18"/>
                <w:szCs w:val="18"/>
                <w:lang w:val="en-US"/>
              </w:rPr>
              <w:t xml:space="preserve"> </w:t>
            </w:r>
            <w:r w:rsidRPr="4DCF16DC">
              <w:rPr>
                <w:rFonts w:eastAsiaTheme="minorEastAsia"/>
                <w:i/>
                <w:iCs/>
                <w:sz w:val="18"/>
                <w:szCs w:val="18"/>
                <w:lang w:val="en-US"/>
              </w:rPr>
              <w:t>Journal of Science and Medicine in Sport, 15</w:t>
            </w:r>
            <w:r w:rsidRPr="4DCF16DC">
              <w:rPr>
                <w:rFonts w:eastAsiaTheme="minorEastAsia"/>
                <w:sz w:val="18"/>
                <w:szCs w:val="18"/>
                <w:lang w:val="en-US"/>
              </w:rPr>
              <w:t>(4), 311–321. https://doi.org/10.1016/j.jsams.2011.12.001</w:t>
            </w:r>
          </w:p>
        </w:tc>
      </w:tr>
      <w:tr w:rsidR="5AB0C6CE" w14:paraId="0620CE2A" w14:textId="77777777" w:rsidTr="4DCF16DC">
        <w:trPr>
          <w:trHeight w:val="300"/>
        </w:trPr>
        <w:tc>
          <w:tcPr>
            <w:tcW w:w="2837" w:type="dxa"/>
          </w:tcPr>
          <w:p w14:paraId="5267915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164DECFD" w14:textId="44A5F53D" w:rsidR="5F1E35E3" w:rsidRDefault="75C464F0" w:rsidP="4DCF16DC">
            <w:pPr>
              <w:spacing w:after="0" w:line="240" w:lineRule="auto"/>
              <w:rPr>
                <w:rFonts w:eastAsiaTheme="minorEastAsia"/>
                <w:sz w:val="18"/>
                <w:szCs w:val="18"/>
                <w:lang w:eastAsia="hr-HR"/>
              </w:rPr>
            </w:pPr>
            <w:r w:rsidRPr="4DCF16DC">
              <w:rPr>
                <w:rFonts w:eastAsiaTheme="minorEastAsia"/>
                <w:sz w:val="18"/>
                <w:szCs w:val="18"/>
                <w:lang w:eastAsia="hr-HR"/>
              </w:rPr>
              <w:t>https://www.sciencedirect.com/science/article/abs/pii/S1440244011004750</w:t>
            </w:r>
          </w:p>
        </w:tc>
      </w:tr>
      <w:tr w:rsidR="5AB0C6CE" w14:paraId="66B82EAD" w14:textId="77777777" w:rsidTr="4DCF16DC">
        <w:trPr>
          <w:trHeight w:val="300"/>
        </w:trPr>
        <w:tc>
          <w:tcPr>
            <w:tcW w:w="2837" w:type="dxa"/>
          </w:tcPr>
          <w:p w14:paraId="3D44AFD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71620969" w14:textId="2F02F275" w:rsidR="331886D9" w:rsidRDefault="37B9A86F" w:rsidP="4DCF16DC">
            <w:pPr>
              <w:spacing w:after="0" w:line="240" w:lineRule="auto"/>
              <w:rPr>
                <w:rFonts w:eastAsiaTheme="minorEastAsia"/>
                <w:sz w:val="18"/>
                <w:szCs w:val="18"/>
                <w:lang w:eastAsia="hr-HR"/>
              </w:rPr>
            </w:pPr>
            <w:r w:rsidRPr="4DCF16DC">
              <w:rPr>
                <w:rFonts w:eastAsiaTheme="minorEastAsia"/>
                <w:sz w:val="18"/>
                <w:szCs w:val="18"/>
                <w:lang w:eastAsia="hr-HR"/>
              </w:rPr>
              <w:t>Validacija TP</w:t>
            </w:r>
          </w:p>
        </w:tc>
      </w:tr>
      <w:tr w:rsidR="5AB0C6CE" w14:paraId="203CE5DA" w14:textId="77777777" w:rsidTr="4DCF16DC">
        <w:trPr>
          <w:trHeight w:val="300"/>
        </w:trPr>
        <w:tc>
          <w:tcPr>
            <w:tcW w:w="2837" w:type="dxa"/>
          </w:tcPr>
          <w:p w14:paraId="3702EDB3"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33872BED" w14:textId="19F19BE6" w:rsidR="71E9560E" w:rsidRDefault="75CFD32C" w:rsidP="4DCF16DC">
            <w:pPr>
              <w:spacing w:after="0" w:line="240" w:lineRule="auto"/>
              <w:rPr>
                <w:rFonts w:eastAsiaTheme="minorEastAsia"/>
                <w:sz w:val="18"/>
                <w:szCs w:val="18"/>
                <w:lang w:eastAsia="hr-HR"/>
              </w:rPr>
            </w:pPr>
            <w:r w:rsidRPr="4DCF16DC">
              <w:rPr>
                <w:rFonts w:eastAsiaTheme="minorEastAsia"/>
                <w:sz w:val="18"/>
                <w:szCs w:val="18"/>
                <w:lang w:eastAsia="hr-HR"/>
              </w:rPr>
              <w:t>Maroje</w:t>
            </w:r>
            <w:r w:rsidR="55443A05" w:rsidRPr="4DCF16DC">
              <w:rPr>
                <w:rFonts w:eastAsiaTheme="minorEastAsia"/>
                <w:sz w:val="18"/>
                <w:szCs w:val="18"/>
                <w:lang w:eastAsia="hr-HR"/>
              </w:rPr>
              <w:t xml:space="preserve"> Sorić</w:t>
            </w:r>
          </w:p>
        </w:tc>
      </w:tr>
      <w:tr w:rsidR="5AB0C6CE" w14:paraId="7F228C56" w14:textId="77777777" w:rsidTr="4DCF16DC">
        <w:trPr>
          <w:trHeight w:val="300"/>
        </w:trPr>
        <w:tc>
          <w:tcPr>
            <w:tcW w:w="2837" w:type="dxa"/>
          </w:tcPr>
          <w:p w14:paraId="59A91684"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087AF185"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22BAB8F0"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52D777B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35B2CE86"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1A3E4AD7" w14:textId="596AB5A7" w:rsidR="1C6F87A3" w:rsidRDefault="3D98A7C5"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5AB0C6CE" w14:paraId="38283C3E" w14:textId="77777777" w:rsidTr="4DCF16DC">
        <w:trPr>
          <w:trHeight w:val="300"/>
        </w:trPr>
        <w:tc>
          <w:tcPr>
            <w:tcW w:w="2837" w:type="dxa"/>
          </w:tcPr>
          <w:p w14:paraId="2F3AC43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1DF6E70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26292EE" w14:textId="4FFB9DBD"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Objectives</w:t>
            </w:r>
          </w:p>
          <w:p w14:paraId="446BE1AE" w14:textId="3C124C26"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The purpose of this study is to provide an overview of the evidence on the calibration of ActiGraph accelerometers to quantify moderate-to-vigorous physical activity (MVPA) for youth through the use of cut-points and describe the independent validation studies comparing the accuracy of the developed cut-points to a criterion measure.</w:t>
            </w:r>
          </w:p>
          <w:p w14:paraId="7E2B0D41" w14:textId="7917DA1E"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Design</w:t>
            </w:r>
          </w:p>
          <w:p w14:paraId="58B88233" w14:textId="148CE326"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A systematic review.</w:t>
            </w:r>
          </w:p>
          <w:p w14:paraId="3857B927" w14:textId="597C16DC"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Methods</w:t>
            </w:r>
          </w:p>
          <w:p w14:paraId="32B57070" w14:textId="4C5E3435"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Studies were identified that: (a) developed ActiGraph accelerometer cut-points for children and youth (calibration study); or (b) performed an independent validation of already established cut-points (validation study). Both calibration studies and independent validation studies were retrieved through a systematic search of online databases. According to proposed guidelines for designing accelerometer calibration studies, each calibration study was evaluated on the following criteria: quality of a criterion measure employed; epoch length; inclusion of a variety of activities; and sample size.</w:t>
            </w:r>
          </w:p>
          <w:p w14:paraId="4268483B" w14:textId="099DD92D"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Results</w:t>
            </w:r>
          </w:p>
          <w:p w14:paraId="58FB1942" w14:textId="4A4B70D9"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A total of 11 calibration studies were identified. Two studies met all four criteria for a calibration study. A total of 4 independent validation studies were identified. Three of them reported that no cut-points accurately classified moderate-to-vigorous physical activity (MVPA) across all ranges of physical activity intensity levels in comparison to a criterion measure. The fourth study reported two sets of cut-points that under laboratory conditions, accurately classified moderate-to-vigorous physical activity (MVPA) compared to indirect calorimetry.</w:t>
            </w:r>
          </w:p>
          <w:p w14:paraId="06941673" w14:textId="24F67DC2"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Conclusions</w:t>
            </w:r>
          </w:p>
          <w:p w14:paraId="5671D35D" w14:textId="04DE7334" w:rsidR="7195A13E" w:rsidRDefault="63D7956D" w:rsidP="4DCF16DC">
            <w:pPr>
              <w:spacing w:after="0" w:line="240" w:lineRule="auto"/>
              <w:rPr>
                <w:rFonts w:eastAsiaTheme="minorEastAsia"/>
                <w:sz w:val="18"/>
                <w:szCs w:val="18"/>
                <w:lang w:eastAsia="hr-HR"/>
              </w:rPr>
            </w:pPr>
            <w:r w:rsidRPr="4DCF16DC">
              <w:rPr>
                <w:rFonts w:eastAsiaTheme="minorEastAsia"/>
                <w:sz w:val="18"/>
                <w:szCs w:val="18"/>
                <w:lang w:eastAsia="hr-HR"/>
              </w:rPr>
              <w:t>Limited evidence suggests that two sets of cut-points correctly classify ActiGraph counts into moderate-to-vigorous physical activity (MVPA). However, limitations with calibration and validation studies indicate greater efforts aimed at designing high quality studies are needed to confirm these findings.</w:t>
            </w:r>
          </w:p>
          <w:p w14:paraId="6D9A4A5F" w14:textId="28960CFF" w:rsidR="5AB0C6CE" w:rsidRDefault="5AB0C6CE" w:rsidP="4DCF16DC">
            <w:pPr>
              <w:spacing w:after="0" w:line="240" w:lineRule="auto"/>
              <w:rPr>
                <w:rFonts w:eastAsiaTheme="minorEastAsia"/>
                <w:sz w:val="18"/>
                <w:szCs w:val="18"/>
                <w:lang w:eastAsia="hr-HR"/>
              </w:rPr>
            </w:pPr>
          </w:p>
        </w:tc>
      </w:tr>
      <w:tr w:rsidR="5AB0C6CE" w14:paraId="6A244F18" w14:textId="77777777" w:rsidTr="4DCF16DC">
        <w:trPr>
          <w:trHeight w:val="300"/>
        </w:trPr>
        <w:tc>
          <w:tcPr>
            <w:tcW w:w="2837" w:type="dxa"/>
          </w:tcPr>
          <w:p w14:paraId="3E92A19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4236DE81" w14:textId="27309629" w:rsidR="08C78060" w:rsidRDefault="5ADE1748" w:rsidP="4DCF16DC">
            <w:pPr>
              <w:spacing w:after="0" w:line="240" w:lineRule="auto"/>
              <w:rPr>
                <w:rFonts w:eastAsiaTheme="minorEastAsia"/>
                <w:sz w:val="18"/>
                <w:szCs w:val="18"/>
                <w:lang w:eastAsia="hr-HR"/>
              </w:rPr>
            </w:pPr>
            <w:r w:rsidRPr="4DCF16DC">
              <w:rPr>
                <w:rFonts w:eastAsiaTheme="minorEastAsia"/>
                <w:sz w:val="18"/>
                <w:szCs w:val="18"/>
                <w:lang w:eastAsia="hr-HR"/>
              </w:rPr>
              <w:t>Actigraphy, protocol, cut-off points</w:t>
            </w:r>
          </w:p>
        </w:tc>
      </w:tr>
      <w:tr w:rsidR="5AB0C6CE" w14:paraId="12895408" w14:textId="77777777" w:rsidTr="4DCF16DC">
        <w:trPr>
          <w:trHeight w:val="300"/>
        </w:trPr>
        <w:tc>
          <w:tcPr>
            <w:tcW w:w="2837" w:type="dxa"/>
          </w:tcPr>
          <w:p w14:paraId="7826208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2B5D95DC" w14:textId="501BA402" w:rsidR="428E50CD" w:rsidRDefault="7035D98E" w:rsidP="4DCF16DC">
            <w:pPr>
              <w:spacing w:after="0" w:line="240" w:lineRule="auto"/>
              <w:rPr>
                <w:rFonts w:eastAsiaTheme="minorEastAsia"/>
                <w:sz w:val="18"/>
                <w:szCs w:val="18"/>
                <w:lang w:eastAsia="hr-HR"/>
              </w:rPr>
            </w:pPr>
            <w:r w:rsidRPr="4DCF16DC">
              <w:rPr>
                <w:rFonts w:eastAsiaTheme="minorEastAsia"/>
                <w:sz w:val="18"/>
                <w:szCs w:val="18"/>
                <w:lang w:eastAsia="hr-HR"/>
              </w:rPr>
              <w:t>Ovo je sustavni pregled literature koji je uključio 1</w:t>
            </w:r>
            <w:r w:rsidR="3FFA906C" w:rsidRPr="4DCF16DC">
              <w:rPr>
                <w:rFonts w:eastAsiaTheme="minorEastAsia"/>
                <w:sz w:val="18"/>
                <w:szCs w:val="18"/>
                <w:lang w:eastAsia="hr-HR"/>
              </w:rPr>
              <w:t>6</w:t>
            </w:r>
            <w:r w:rsidRPr="4DCF16DC">
              <w:rPr>
                <w:rFonts w:eastAsiaTheme="minorEastAsia"/>
                <w:sz w:val="18"/>
                <w:szCs w:val="18"/>
                <w:lang w:eastAsia="hr-HR"/>
              </w:rPr>
              <w:t xml:space="preserve"> validacijskih studija</w:t>
            </w:r>
            <w:r w:rsidR="4C2EF804" w:rsidRPr="4DCF16DC">
              <w:rPr>
                <w:rFonts w:eastAsiaTheme="minorEastAsia"/>
                <w:sz w:val="18"/>
                <w:szCs w:val="18"/>
                <w:lang w:eastAsia="hr-HR"/>
              </w:rPr>
              <w:t xml:space="preserve"> (12 kalibracijskih i 4 nezavisne studije) koje su određivale odsječne vrijednosti za mjerenje MVPA akcelerometrima.</w:t>
            </w:r>
          </w:p>
        </w:tc>
      </w:tr>
      <w:tr w:rsidR="5AB0C6CE" w14:paraId="0A065885" w14:textId="77777777" w:rsidTr="4DCF16DC">
        <w:trPr>
          <w:trHeight w:val="2025"/>
        </w:trPr>
        <w:tc>
          <w:tcPr>
            <w:tcW w:w="2837" w:type="dxa"/>
          </w:tcPr>
          <w:p w14:paraId="3B52BCE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292A55A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0D3AD378" w14:textId="61E5F67F" w:rsidR="0BA92FC3" w:rsidRDefault="403979A2" w:rsidP="4DCF16DC">
            <w:pPr>
              <w:spacing w:before="240" w:after="240" w:line="240" w:lineRule="auto"/>
              <w:rPr>
                <w:rFonts w:eastAsiaTheme="minorEastAsia"/>
                <w:sz w:val="18"/>
                <w:szCs w:val="18"/>
              </w:rPr>
            </w:pPr>
            <w:r w:rsidRPr="4DCF16DC">
              <w:rPr>
                <w:rFonts w:eastAsiaTheme="minorEastAsia"/>
                <w:sz w:val="18"/>
                <w:szCs w:val="18"/>
              </w:rPr>
              <w:t>Sistematski pregled proveden ovdje otkrio je da, iako je provedeno značajno istraživanje o razvoju cut-pointova (ukupno 11 studija) za djecu i mlade, metodološka kvaliteta tih studija značajno se razlikovala (vidi Tablicu 2). U slučajevima kada su studije kalibracije zadovoljile sva četiri kriterija (ukupno 2 studije: Mattocks i Evenson), rezultati su dali uvelike različite cut-pointove (3581 naspram 2296). Kako bi se riješilo pitanje koji su cut-pointovi „najbolji“, provedene su brojne neovisne studije validacije (vidi Tablicu 3).</w:t>
            </w:r>
          </w:p>
          <w:p w14:paraId="655B7673" w14:textId="391DDB5A" w:rsidR="0BA92FC3" w:rsidRDefault="403979A2" w:rsidP="4DCF16DC">
            <w:pPr>
              <w:spacing w:before="240" w:after="240" w:line="240" w:lineRule="auto"/>
              <w:rPr>
                <w:rFonts w:eastAsiaTheme="minorEastAsia"/>
                <w:sz w:val="18"/>
                <w:szCs w:val="18"/>
              </w:rPr>
            </w:pPr>
            <w:r w:rsidRPr="4DCF16DC">
              <w:rPr>
                <w:rFonts w:eastAsiaTheme="minorEastAsia"/>
                <w:sz w:val="18"/>
                <w:szCs w:val="18"/>
              </w:rPr>
              <w:t>U teoriji, neovisne studije validacije pružaju najsnažniju potporu za korištenje postojećih cut-pointova u klasificiranju intenziteta tjelesne aktivnosti. Sukladno tome, nalazi iz studija validacije koriste se za preporuku korištenja jednog ili više skupova cut-pointova za procjenu minuta provedenih u različitim intenzitetima tjelesne aktivnosti u uvjetima svakodnevnog života. Općenito, nalazi ukazuju na nemogućnost da se jednoznačno preporuči jedinstveni skup cut-pointova za široku primjenu (vidi Tablicu 3). Najnovija i metodološki najsnažnija studija validacije, međutim, preporučila je korištenje cut-pointova prema Evensonu i sur.</w:t>
            </w:r>
          </w:p>
        </w:tc>
      </w:tr>
      <w:tr w:rsidR="5AB0C6CE" w14:paraId="0E1FE34E" w14:textId="77777777" w:rsidTr="4DCF16DC">
        <w:trPr>
          <w:trHeight w:val="300"/>
        </w:trPr>
        <w:tc>
          <w:tcPr>
            <w:tcW w:w="2837" w:type="dxa"/>
          </w:tcPr>
          <w:p w14:paraId="1E652B56"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7C57CC7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592BE23E" w14:textId="02C8146C" w:rsidR="0A15A036" w:rsidRDefault="3B50484D" w:rsidP="4DCF16DC">
            <w:pPr>
              <w:spacing w:after="0" w:line="240" w:lineRule="auto"/>
              <w:rPr>
                <w:rFonts w:eastAsiaTheme="minorEastAsia"/>
                <w:sz w:val="18"/>
                <w:szCs w:val="18"/>
                <w:lang w:eastAsia="hr-HR"/>
              </w:rPr>
            </w:pPr>
            <w:r w:rsidRPr="4DCF16DC">
              <w:rPr>
                <w:rFonts w:eastAsiaTheme="minorEastAsia"/>
                <w:sz w:val="18"/>
                <w:szCs w:val="18"/>
                <w:lang w:eastAsia="hr-HR"/>
              </w:rPr>
              <w:t>Daje pregled točnosti različitih odsječnih vrijednosti pri procesiranju podataka prikupljenim akcelerometrima kod djece. Može služiti kao referentan dokument pri odabi</w:t>
            </w:r>
            <w:r w:rsidR="0935F047" w:rsidRPr="4DCF16DC">
              <w:rPr>
                <w:rFonts w:eastAsiaTheme="minorEastAsia"/>
                <w:sz w:val="18"/>
                <w:szCs w:val="18"/>
                <w:lang w:eastAsia="hr-HR"/>
              </w:rPr>
              <w:t>ru načina procesiranja podataka.</w:t>
            </w:r>
            <w:r w:rsidRPr="4DCF16DC">
              <w:rPr>
                <w:rFonts w:eastAsiaTheme="minorEastAsia"/>
                <w:sz w:val="18"/>
                <w:szCs w:val="18"/>
                <w:lang w:eastAsia="hr-HR"/>
              </w:rPr>
              <w:t xml:space="preserve"> </w:t>
            </w:r>
          </w:p>
        </w:tc>
      </w:tr>
      <w:tr w:rsidR="5AB0C6CE" w14:paraId="6BD24D2B" w14:textId="77777777" w:rsidTr="4DCF16DC">
        <w:trPr>
          <w:trHeight w:val="300"/>
        </w:trPr>
        <w:tc>
          <w:tcPr>
            <w:tcW w:w="2837" w:type="dxa"/>
          </w:tcPr>
          <w:p w14:paraId="1DAE1F1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4C54537A" w14:textId="77777777" w:rsidR="5AB0C6CE" w:rsidRDefault="5AB0C6CE" w:rsidP="4DCF16DC">
            <w:pPr>
              <w:spacing w:after="0" w:line="240" w:lineRule="auto"/>
              <w:rPr>
                <w:rFonts w:eastAsiaTheme="minorEastAsia"/>
                <w:sz w:val="18"/>
                <w:szCs w:val="18"/>
                <w:lang w:eastAsia="hr-HR"/>
              </w:rPr>
            </w:pPr>
          </w:p>
        </w:tc>
      </w:tr>
    </w:tbl>
    <w:p w14:paraId="3A773DD5" w14:textId="5F0FB0FC" w:rsidR="5AB0C6CE" w:rsidRDefault="5AB0C6CE"/>
    <w:p w14:paraId="103A2253" w14:textId="67CC6EDF"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6CAB21BE" w14:textId="77777777" w:rsidTr="4DCF16DC">
        <w:trPr>
          <w:trHeight w:val="300"/>
        </w:trPr>
        <w:tc>
          <w:tcPr>
            <w:tcW w:w="2837" w:type="dxa"/>
          </w:tcPr>
          <w:p w14:paraId="03EA8254" w14:textId="7CB98A64"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7B7B070E" w14:textId="6CC3C407" w:rsidR="2C8254D7" w:rsidRDefault="2C8254D7" w:rsidP="4DCF16DC">
            <w:pPr>
              <w:spacing w:after="0" w:line="240" w:lineRule="auto"/>
              <w:rPr>
                <w:rFonts w:eastAsiaTheme="minorEastAsia"/>
                <w:sz w:val="18"/>
                <w:szCs w:val="18"/>
                <w:lang w:val="en-US"/>
              </w:rPr>
            </w:pPr>
            <w:r w:rsidRPr="4DCF16DC">
              <w:rPr>
                <w:rFonts w:eastAsiaTheme="minorEastAsia"/>
                <w:sz w:val="18"/>
                <w:szCs w:val="18"/>
                <w:lang w:val="en-US"/>
              </w:rPr>
              <w:t xml:space="preserve">Hilden, P., Schwartz, J. E., Pascual, C., Diaz, K. M., &amp; Goldsmith, J. (2023). How many days are needed? Measurement reliability of wearable device data to assess physical activity. </w:t>
            </w:r>
            <w:r w:rsidRPr="4DCF16DC">
              <w:rPr>
                <w:rFonts w:eastAsiaTheme="minorEastAsia"/>
                <w:i/>
                <w:iCs/>
                <w:sz w:val="18"/>
                <w:szCs w:val="18"/>
                <w:lang w:val="en-US"/>
              </w:rPr>
              <w:t>PLoS ONE, 18</w:t>
            </w:r>
            <w:r w:rsidRPr="4DCF16DC">
              <w:rPr>
                <w:rFonts w:eastAsiaTheme="minorEastAsia"/>
                <w:sz w:val="18"/>
                <w:szCs w:val="18"/>
                <w:lang w:val="en-US"/>
              </w:rPr>
              <w:t xml:space="preserve">(2), e0282162. </w:t>
            </w:r>
            <w:hyperlink r:id="rId26">
              <w:r w:rsidRPr="4DCF16DC">
                <w:rPr>
                  <w:rStyle w:val="Hiperveza"/>
                  <w:rFonts w:eastAsiaTheme="minorEastAsia"/>
                  <w:sz w:val="18"/>
                  <w:szCs w:val="18"/>
                  <w:lang w:val="en-US"/>
                </w:rPr>
                <w:t>https://doi.org/10.1371/journal.pone.0282162</w:t>
              </w:r>
            </w:hyperlink>
          </w:p>
          <w:p w14:paraId="19F4896C" w14:textId="26DBF839" w:rsidR="5AB0C6CE" w:rsidRDefault="5AB0C6CE" w:rsidP="4DCF16DC">
            <w:pPr>
              <w:spacing w:after="0" w:line="240" w:lineRule="auto"/>
              <w:rPr>
                <w:rFonts w:eastAsiaTheme="minorEastAsia"/>
                <w:b/>
                <w:bCs/>
                <w:sz w:val="18"/>
                <w:szCs w:val="18"/>
                <w:lang w:eastAsia="hr-HR"/>
              </w:rPr>
            </w:pPr>
          </w:p>
        </w:tc>
      </w:tr>
      <w:tr w:rsidR="5AB0C6CE" w14:paraId="6A5071B3" w14:textId="77777777" w:rsidTr="4DCF16DC">
        <w:trPr>
          <w:trHeight w:val="300"/>
        </w:trPr>
        <w:tc>
          <w:tcPr>
            <w:tcW w:w="2837" w:type="dxa"/>
          </w:tcPr>
          <w:p w14:paraId="6DDE9DA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12609B39" w14:textId="1D447ABE" w:rsidR="4E5577B0" w:rsidRDefault="31AD2F77" w:rsidP="4DCF16DC">
            <w:pPr>
              <w:spacing w:after="0" w:line="240" w:lineRule="auto"/>
              <w:rPr>
                <w:rFonts w:eastAsiaTheme="minorEastAsia"/>
                <w:sz w:val="18"/>
                <w:szCs w:val="18"/>
                <w:lang w:eastAsia="hr-HR"/>
              </w:rPr>
            </w:pPr>
            <w:r w:rsidRPr="4DCF16DC">
              <w:rPr>
                <w:rFonts w:eastAsiaTheme="minorEastAsia"/>
                <w:sz w:val="18"/>
                <w:szCs w:val="18"/>
                <w:lang w:eastAsia="hr-HR"/>
              </w:rPr>
              <w:t>https://journals.plos.org/plosone/article?id=10.1371/journal.pone.0282162</w:t>
            </w:r>
          </w:p>
        </w:tc>
      </w:tr>
      <w:tr w:rsidR="5AB0C6CE" w14:paraId="284EF41E" w14:textId="77777777" w:rsidTr="4DCF16DC">
        <w:trPr>
          <w:trHeight w:val="300"/>
        </w:trPr>
        <w:tc>
          <w:tcPr>
            <w:tcW w:w="2837" w:type="dxa"/>
          </w:tcPr>
          <w:p w14:paraId="5A181D4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56FB530E" w14:textId="20BB8B67" w:rsidR="596C8D53" w:rsidRDefault="2803A2DE" w:rsidP="4DCF16DC">
            <w:pPr>
              <w:spacing w:after="0" w:line="240" w:lineRule="auto"/>
              <w:rPr>
                <w:rFonts w:eastAsiaTheme="minorEastAsia"/>
                <w:sz w:val="18"/>
                <w:szCs w:val="18"/>
                <w:lang w:eastAsia="hr-HR"/>
              </w:rPr>
            </w:pPr>
            <w:r w:rsidRPr="4DCF16DC">
              <w:rPr>
                <w:rFonts w:eastAsiaTheme="minorEastAsia"/>
                <w:sz w:val="18"/>
                <w:szCs w:val="18"/>
                <w:lang w:eastAsia="hr-HR"/>
              </w:rPr>
              <w:t>Mjerenje TA – intervencija</w:t>
            </w:r>
          </w:p>
        </w:tc>
      </w:tr>
      <w:tr w:rsidR="5AB0C6CE" w14:paraId="33C67DC2" w14:textId="77777777" w:rsidTr="4DCF16DC">
        <w:trPr>
          <w:trHeight w:val="300"/>
        </w:trPr>
        <w:tc>
          <w:tcPr>
            <w:tcW w:w="2837" w:type="dxa"/>
          </w:tcPr>
          <w:p w14:paraId="63471B92"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7FE3A5B0" w14:textId="4CE000C3" w:rsidR="1DB0B4AC" w:rsidRDefault="3F6D8EDC" w:rsidP="4DCF16DC">
            <w:pPr>
              <w:spacing w:after="0" w:line="240" w:lineRule="auto"/>
              <w:rPr>
                <w:rFonts w:eastAsiaTheme="minorEastAsia"/>
                <w:sz w:val="18"/>
                <w:szCs w:val="18"/>
                <w:lang w:eastAsia="hr-HR"/>
              </w:rPr>
            </w:pPr>
            <w:r w:rsidRPr="4DCF16DC">
              <w:rPr>
                <w:rFonts w:eastAsiaTheme="minorEastAsia"/>
                <w:sz w:val="18"/>
                <w:szCs w:val="18"/>
                <w:lang w:eastAsia="hr-HR"/>
              </w:rPr>
              <w:t>Maroje</w:t>
            </w:r>
            <w:r w:rsidR="1A8398E3" w:rsidRPr="4DCF16DC">
              <w:rPr>
                <w:rFonts w:eastAsiaTheme="minorEastAsia"/>
                <w:sz w:val="18"/>
                <w:szCs w:val="18"/>
                <w:lang w:eastAsia="hr-HR"/>
              </w:rPr>
              <w:t xml:space="preserve"> Sorić</w:t>
            </w:r>
          </w:p>
        </w:tc>
      </w:tr>
      <w:tr w:rsidR="5AB0C6CE" w14:paraId="626A1D7D" w14:textId="77777777" w:rsidTr="4DCF16DC">
        <w:trPr>
          <w:trHeight w:val="300"/>
        </w:trPr>
        <w:tc>
          <w:tcPr>
            <w:tcW w:w="2837" w:type="dxa"/>
          </w:tcPr>
          <w:p w14:paraId="18E8DC3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05500968"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198D4DE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2D1E5F3B"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2E2D122C"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2D247BCE" w14:textId="3E6A6B08" w:rsidR="16121787" w:rsidRDefault="5127F41E"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5AB0C6CE" w14:paraId="1DD92664" w14:textId="77777777" w:rsidTr="4DCF16DC">
        <w:trPr>
          <w:trHeight w:val="300"/>
        </w:trPr>
        <w:tc>
          <w:tcPr>
            <w:tcW w:w="2837" w:type="dxa"/>
          </w:tcPr>
          <w:p w14:paraId="07F5C72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3400F0D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E738B83" w14:textId="141F7ED5"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Introduction/Purpose</w:t>
            </w:r>
          </w:p>
          <w:p w14:paraId="7E5E6C61" w14:textId="315CCE11"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Physical activity studies often utilize wearable devices to measure participants’ habitual activity levels by averaging values across several valid observation days. These studies face competing demands–available resources and the burden to study participants must be balanced with the goal to obtain reliable measurements of a person’s longer-term average. Information about the number of valid observation days required to reliably measure targeted metrics of habitual activity is required to inform study design.</w:t>
            </w:r>
          </w:p>
          <w:p w14:paraId="3AB3703F" w14:textId="1A8A42DA"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Methods</w:t>
            </w:r>
          </w:p>
          <w:p w14:paraId="33C0EBCD" w14:textId="44F32377"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To date, the number of days required to achieve a desired level of aggregate long-term reliability (typically 0.80) has often been estimated by applying the Spearman-Brown Prophecy formula to short-term test-retest reliability data from studies with single, relatively brief observation windows. Our work, in contrast, utilizes a resampling-based approach to quantify the long-term test-retest reliability of aggregate measures of activity in a cohort of 79 participants who were asked to wear a FitBit Flex every day for approximately one year.</w:t>
            </w:r>
          </w:p>
          <w:p w14:paraId="5B9CC624" w14:textId="2C48193B"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Results</w:t>
            </w:r>
          </w:p>
          <w:p w14:paraId="7B1FF2B6" w14:textId="4FBE0D85"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The conventional approach can produce reliability estimates that substantially overestimate the actual test-retest reliability. Six or more valid days of observation for each participant appear necessary to obtain 0.80 reliability for the average amount of time spent in light physical activity; 8 and 10 valid days are needed for sedentary time and moderate/vigorous activity respectively.</w:t>
            </w:r>
          </w:p>
          <w:p w14:paraId="3D058828" w14:textId="70B5C5A0"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Conclusion</w:t>
            </w:r>
          </w:p>
          <w:p w14:paraId="50A490B0" w14:textId="394594FF" w:rsidR="5E1B62B7" w:rsidRDefault="351279D4" w:rsidP="4DCF16DC">
            <w:pPr>
              <w:spacing w:after="0" w:line="240" w:lineRule="auto"/>
              <w:rPr>
                <w:rFonts w:eastAsiaTheme="minorEastAsia"/>
                <w:sz w:val="18"/>
                <w:szCs w:val="18"/>
                <w:lang w:eastAsia="hr-HR"/>
              </w:rPr>
            </w:pPr>
            <w:r w:rsidRPr="4DCF16DC">
              <w:rPr>
                <w:rFonts w:eastAsiaTheme="minorEastAsia"/>
                <w:sz w:val="18"/>
                <w:szCs w:val="18"/>
                <w:lang w:eastAsia="hr-HR"/>
              </w:rPr>
              <w:t>Protocols that result in 7–10 valid observation days for each participant may be needed to obtain reliable measurements of key physical activity metrics.</w:t>
            </w:r>
          </w:p>
          <w:p w14:paraId="025F3FCD" w14:textId="641F08C5" w:rsidR="5AB0C6CE" w:rsidRDefault="5AB0C6CE" w:rsidP="4DCF16DC">
            <w:pPr>
              <w:spacing w:after="0" w:line="240" w:lineRule="auto"/>
              <w:rPr>
                <w:rFonts w:eastAsiaTheme="minorEastAsia"/>
                <w:sz w:val="18"/>
                <w:szCs w:val="18"/>
                <w:lang w:eastAsia="hr-HR"/>
              </w:rPr>
            </w:pPr>
          </w:p>
        </w:tc>
      </w:tr>
      <w:tr w:rsidR="5AB0C6CE" w14:paraId="02DD82BB" w14:textId="77777777" w:rsidTr="4DCF16DC">
        <w:trPr>
          <w:trHeight w:val="300"/>
        </w:trPr>
        <w:tc>
          <w:tcPr>
            <w:tcW w:w="2837" w:type="dxa"/>
          </w:tcPr>
          <w:p w14:paraId="7AFF2D1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3C9BFC6E" w14:textId="75893FEE" w:rsidR="380090C4" w:rsidRDefault="1A9A9FFD" w:rsidP="4DCF16DC">
            <w:pPr>
              <w:spacing w:after="0" w:line="240" w:lineRule="auto"/>
              <w:rPr>
                <w:rFonts w:eastAsiaTheme="minorEastAsia"/>
                <w:sz w:val="18"/>
                <w:szCs w:val="18"/>
                <w:lang w:eastAsia="hr-HR"/>
              </w:rPr>
            </w:pPr>
            <w:r w:rsidRPr="4DCF16DC">
              <w:rPr>
                <w:rFonts w:eastAsiaTheme="minorEastAsia"/>
                <w:sz w:val="18"/>
                <w:szCs w:val="18"/>
                <w:lang w:eastAsia="hr-HR"/>
              </w:rPr>
              <w:t>Nosiva tehnologija, pouzdanost, odrasli</w:t>
            </w:r>
          </w:p>
        </w:tc>
      </w:tr>
      <w:tr w:rsidR="5AB0C6CE" w14:paraId="7259FA9E" w14:textId="77777777" w:rsidTr="4DCF16DC">
        <w:trPr>
          <w:trHeight w:val="300"/>
        </w:trPr>
        <w:tc>
          <w:tcPr>
            <w:tcW w:w="2837" w:type="dxa"/>
          </w:tcPr>
          <w:p w14:paraId="25CFBCC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355FF461" w14:textId="6BBA1DCF" w:rsidR="33241C6A" w:rsidRDefault="5E675F37" w:rsidP="4DCF16DC">
            <w:pPr>
              <w:spacing w:after="0" w:line="240" w:lineRule="auto"/>
              <w:rPr>
                <w:rFonts w:eastAsiaTheme="minorEastAsia"/>
                <w:sz w:val="18"/>
                <w:szCs w:val="18"/>
                <w:lang w:val="en-US"/>
              </w:rPr>
            </w:pPr>
            <w:r w:rsidRPr="4DCF16DC">
              <w:rPr>
                <w:rFonts w:eastAsiaTheme="minorEastAsia"/>
                <w:sz w:val="18"/>
                <w:szCs w:val="18"/>
                <w:lang w:val="en-US"/>
              </w:rPr>
              <w:t>Longitudinalna studija koja koristi pristup temeljen na ponovnom uzorkovanju za kvantificiranje dugoročne test-retest pouzdanosti agregiranih mjera aktivnosti u kohorti od 79 sudionika koji su zamoljeni nositi FitBit Flex svaki dan otprilike godinu dana. Prosječna dob sudionika = 30 godina.</w:t>
            </w:r>
          </w:p>
        </w:tc>
      </w:tr>
      <w:tr w:rsidR="5AB0C6CE" w14:paraId="49A49CF2" w14:textId="77777777" w:rsidTr="4DCF16DC">
        <w:trPr>
          <w:trHeight w:val="300"/>
        </w:trPr>
        <w:tc>
          <w:tcPr>
            <w:tcW w:w="2837" w:type="dxa"/>
          </w:tcPr>
          <w:p w14:paraId="68033EA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21FA7DD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F2101D8" w14:textId="03E7D1F9" w:rsidR="214ACAD1" w:rsidRDefault="2B7B16AC" w:rsidP="4DCF16DC">
            <w:pPr>
              <w:spacing w:before="240" w:after="240" w:line="270" w:lineRule="auto"/>
              <w:rPr>
                <w:rFonts w:eastAsiaTheme="minorEastAsia"/>
                <w:sz w:val="18"/>
                <w:szCs w:val="18"/>
                <w:lang w:val="en-US"/>
              </w:rPr>
            </w:pPr>
            <w:r w:rsidRPr="4DCF16DC">
              <w:rPr>
                <w:rFonts w:eastAsiaTheme="minorEastAsia"/>
                <w:sz w:val="18"/>
                <w:szCs w:val="18"/>
                <w:lang w:val="en-US"/>
              </w:rPr>
              <w:t>Agregirana pouzdanost bila je najviša za vrijeme lagane tjelesne aktivnosti (LPA), pri čemu središnji panel na Slici 4 pokazuje da je za 7 dana praćenja medijan bio 0,83 (IQR = [0,80, 0,85]), s minimalnom vrijednošću od 0,72 i maksimalnom od 0,89, s 77 %… Agregirana pouzdanost za vrijeme sjedenja bila je nešto niža: 7 dana praćenja rezultiralo je medijanom od 0,79 (IQR = [0,76, 0,83]). Agregirana pouzdanost bila je najniža za vrijeme umjerene do jake tjelesne aktivnosti (MVPA), s medijanom od 0,75 (IQR = [0,71, 0,79]) za 7 dana praćenja, pri čemu je samo 22,5 %…</w:t>
            </w:r>
          </w:p>
          <w:p w14:paraId="4FF88BA7" w14:textId="673791B5" w:rsidR="214ACAD1" w:rsidRDefault="2B7B16AC" w:rsidP="4DCF16DC">
            <w:pPr>
              <w:spacing w:before="240" w:after="240" w:line="270" w:lineRule="auto"/>
              <w:rPr>
                <w:rFonts w:eastAsiaTheme="minorEastAsia"/>
                <w:sz w:val="18"/>
                <w:szCs w:val="18"/>
                <w:lang w:val="en-US"/>
              </w:rPr>
            </w:pPr>
            <w:r w:rsidRPr="4DCF16DC">
              <w:rPr>
                <w:rFonts w:eastAsiaTheme="minorEastAsia"/>
                <w:sz w:val="18"/>
                <w:szCs w:val="18"/>
                <w:lang w:val="en-US"/>
              </w:rPr>
              <w:t>Za vrijeme sjedenja bilo je potrebno 8 dana kako bi se postigla medijanska pouzdanost ≥0,80 u našim uzorcima. Za vrijeme LPA i MVPA bilo je potrebno 6, odnosno 10 dana kako bi se postigla medijanska pouzdanost ≥0,80.</w:t>
            </w:r>
          </w:p>
        </w:tc>
      </w:tr>
      <w:tr w:rsidR="5AB0C6CE" w14:paraId="64DD38B3" w14:textId="77777777" w:rsidTr="4DCF16DC">
        <w:trPr>
          <w:trHeight w:val="300"/>
        </w:trPr>
        <w:tc>
          <w:tcPr>
            <w:tcW w:w="2837" w:type="dxa"/>
          </w:tcPr>
          <w:p w14:paraId="62D0191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782FF02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B394EB1" w14:textId="50AF3664" w:rsidR="61C0AD17" w:rsidRDefault="75DEC839"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Budući da nisam našao slična istraživanja u adolescenata, može nam pružiti uporište za odabir broja dana mjerenja TA komercijalnim Garmin </w:t>
            </w:r>
            <w:r w:rsidR="3EFCF166" w:rsidRPr="4DCF16DC">
              <w:rPr>
                <w:rFonts w:eastAsiaTheme="minorEastAsia"/>
                <w:sz w:val="18"/>
                <w:szCs w:val="18"/>
                <w:lang w:eastAsia="hr-HR"/>
              </w:rPr>
              <w:t>uređajima za praćenje TA.</w:t>
            </w:r>
          </w:p>
        </w:tc>
      </w:tr>
      <w:tr w:rsidR="5AB0C6CE" w14:paraId="5B78865B" w14:textId="77777777" w:rsidTr="4DCF16DC">
        <w:trPr>
          <w:trHeight w:val="300"/>
        </w:trPr>
        <w:tc>
          <w:tcPr>
            <w:tcW w:w="2837" w:type="dxa"/>
          </w:tcPr>
          <w:p w14:paraId="3DC401A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19EE07F4" w14:textId="77777777" w:rsidR="5AB0C6CE" w:rsidRDefault="5AB0C6CE" w:rsidP="4DCF16DC">
            <w:pPr>
              <w:spacing w:after="0" w:line="240" w:lineRule="auto"/>
              <w:rPr>
                <w:rFonts w:eastAsiaTheme="minorEastAsia"/>
                <w:sz w:val="18"/>
                <w:szCs w:val="18"/>
                <w:lang w:eastAsia="hr-HR"/>
              </w:rPr>
            </w:pPr>
          </w:p>
        </w:tc>
      </w:tr>
    </w:tbl>
    <w:p w14:paraId="2AEBBDC4" w14:textId="607E5D58" w:rsidR="5AB0C6CE" w:rsidRDefault="5AB0C6CE"/>
    <w:p w14:paraId="209D4A5C" w14:textId="63628B0C"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6463"/>
      </w:tblGrid>
      <w:tr w:rsidR="5AB0C6CE" w14:paraId="003C4407" w14:textId="77777777" w:rsidTr="4DCF16DC">
        <w:trPr>
          <w:trHeight w:val="300"/>
        </w:trPr>
        <w:tc>
          <w:tcPr>
            <w:tcW w:w="2837" w:type="dxa"/>
          </w:tcPr>
          <w:p w14:paraId="33CAB881" w14:textId="386FC768"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7CEFD996" w14:textId="4FC2F40C" w:rsidR="5AB0C6CE" w:rsidRDefault="0E67A3A1" w:rsidP="4DCF16DC">
            <w:pPr>
              <w:spacing w:after="0"/>
              <w:rPr>
                <w:rFonts w:eastAsiaTheme="minorEastAsia"/>
                <w:sz w:val="18"/>
                <w:szCs w:val="18"/>
                <w:lang w:val="en-US"/>
              </w:rPr>
            </w:pPr>
            <w:r w:rsidRPr="4DCF16DC">
              <w:rPr>
                <w:rFonts w:eastAsiaTheme="minorEastAsia"/>
                <w:sz w:val="18"/>
                <w:szCs w:val="18"/>
                <w:lang w:val="en-US"/>
              </w:rPr>
              <w:t xml:space="preserve">Trost, S. G., Pate, R. R., Freedson, P. S., Sallis, J. F., &amp; Taylor, W. C. (2000). Using objective physical activity measures with youth: How many days of monitoring are needed? </w:t>
            </w:r>
            <w:r w:rsidRPr="4DCF16DC">
              <w:rPr>
                <w:rFonts w:eastAsiaTheme="minorEastAsia"/>
                <w:i/>
                <w:iCs/>
                <w:sz w:val="18"/>
                <w:szCs w:val="18"/>
                <w:lang w:val="en-US"/>
              </w:rPr>
              <w:t>Medicine &amp; Science in Sports &amp; Exercise, 32</w:t>
            </w:r>
            <w:r w:rsidRPr="4DCF16DC">
              <w:rPr>
                <w:rFonts w:eastAsiaTheme="minorEastAsia"/>
                <w:sz w:val="18"/>
                <w:szCs w:val="18"/>
                <w:lang w:val="en-US"/>
              </w:rPr>
              <w:t>(2), 426–431. https://doi.org/10.1097/00005768-200002000-00021</w:t>
            </w:r>
          </w:p>
        </w:tc>
      </w:tr>
      <w:tr w:rsidR="5AB0C6CE" w14:paraId="3BA0B10B" w14:textId="77777777" w:rsidTr="4DCF16DC">
        <w:trPr>
          <w:trHeight w:val="300"/>
        </w:trPr>
        <w:tc>
          <w:tcPr>
            <w:tcW w:w="2837" w:type="dxa"/>
          </w:tcPr>
          <w:p w14:paraId="28133C1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30FD0BF1" w14:textId="60B9FE29" w:rsidR="5AB0C6CE" w:rsidRDefault="70089264" w:rsidP="4DCF16DC">
            <w:pPr>
              <w:spacing w:after="0"/>
              <w:rPr>
                <w:rFonts w:eastAsiaTheme="minorEastAsia"/>
                <w:sz w:val="18"/>
                <w:szCs w:val="18"/>
              </w:rPr>
            </w:pPr>
            <w:r w:rsidRPr="4DCF16DC">
              <w:rPr>
                <w:rFonts w:eastAsiaTheme="minorEastAsia"/>
                <w:sz w:val="18"/>
                <w:szCs w:val="18"/>
              </w:rPr>
              <w:t xml:space="preserve"> </w:t>
            </w:r>
            <w:hyperlink r:id="rId27">
              <w:r w:rsidRPr="4DCF16DC">
                <w:rPr>
                  <w:rStyle w:val="Hiperveza"/>
                  <w:rFonts w:eastAsiaTheme="minorEastAsia"/>
                  <w:sz w:val="18"/>
                  <w:szCs w:val="18"/>
                </w:rPr>
                <w:t>https://journals.lww.com/acsm-msse/fulltext/2000/02000/using_objective_physical_activity_measures_with.25.aspx</w:t>
              </w:r>
            </w:hyperlink>
          </w:p>
        </w:tc>
      </w:tr>
      <w:tr w:rsidR="5AB0C6CE" w14:paraId="0E112C9A" w14:textId="77777777" w:rsidTr="4DCF16DC">
        <w:trPr>
          <w:trHeight w:val="300"/>
        </w:trPr>
        <w:tc>
          <w:tcPr>
            <w:tcW w:w="2837" w:type="dxa"/>
          </w:tcPr>
          <w:p w14:paraId="2A78447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601641A0" w14:textId="7C6C6203" w:rsidR="5AB0C6CE" w:rsidRDefault="70089264" w:rsidP="4DCF16DC">
            <w:pPr>
              <w:spacing w:after="0"/>
              <w:rPr>
                <w:rFonts w:eastAsiaTheme="minorEastAsia"/>
                <w:sz w:val="18"/>
                <w:szCs w:val="18"/>
              </w:rPr>
            </w:pPr>
            <w:r w:rsidRPr="4DCF16DC">
              <w:rPr>
                <w:rFonts w:eastAsiaTheme="minorEastAsia"/>
                <w:sz w:val="18"/>
                <w:szCs w:val="18"/>
              </w:rPr>
              <w:t xml:space="preserve"> Validacija TP</w:t>
            </w:r>
          </w:p>
        </w:tc>
      </w:tr>
      <w:tr w:rsidR="5AB0C6CE" w14:paraId="4B2755C7" w14:textId="77777777" w:rsidTr="4DCF16DC">
        <w:trPr>
          <w:trHeight w:val="300"/>
        </w:trPr>
        <w:tc>
          <w:tcPr>
            <w:tcW w:w="2837" w:type="dxa"/>
          </w:tcPr>
          <w:p w14:paraId="5D03B7E9"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1660A0D2" w14:textId="0DAD70EB" w:rsidR="5AB0C6CE" w:rsidRDefault="6166A07C" w:rsidP="4DCF16DC">
            <w:pPr>
              <w:spacing w:after="0"/>
              <w:rPr>
                <w:rFonts w:eastAsiaTheme="minorEastAsia"/>
                <w:sz w:val="18"/>
                <w:szCs w:val="18"/>
                <w:lang w:eastAsia="hr-HR"/>
              </w:rPr>
            </w:pPr>
            <w:r w:rsidRPr="4DCF16DC">
              <w:rPr>
                <w:rFonts w:eastAsiaTheme="minorEastAsia"/>
                <w:sz w:val="18"/>
                <w:szCs w:val="18"/>
              </w:rPr>
              <w:t>Maroje</w:t>
            </w:r>
            <w:r w:rsidR="758DC2AE" w:rsidRPr="4DCF16DC">
              <w:rPr>
                <w:rFonts w:eastAsiaTheme="minorEastAsia"/>
                <w:sz w:val="18"/>
                <w:szCs w:val="18"/>
              </w:rPr>
              <w:t xml:space="preserve"> </w:t>
            </w:r>
            <w:r w:rsidR="758DC2AE" w:rsidRPr="4DCF16DC">
              <w:rPr>
                <w:rFonts w:eastAsiaTheme="minorEastAsia"/>
                <w:sz w:val="18"/>
                <w:szCs w:val="18"/>
                <w:lang w:eastAsia="hr-HR"/>
              </w:rPr>
              <w:t>Sorić</w:t>
            </w:r>
          </w:p>
        </w:tc>
      </w:tr>
      <w:tr w:rsidR="5AB0C6CE" w14:paraId="3D5E7A9A" w14:textId="77777777" w:rsidTr="4DCF16DC">
        <w:trPr>
          <w:trHeight w:val="300"/>
        </w:trPr>
        <w:tc>
          <w:tcPr>
            <w:tcW w:w="2837" w:type="dxa"/>
          </w:tcPr>
          <w:p w14:paraId="60E3D7F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1766CEE5"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3DB6ACDD"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371670EC"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4E857C22"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75BCEECF" w14:textId="6375AD93" w:rsidR="5AB0C6CE" w:rsidRDefault="70089264" w:rsidP="4DCF16DC">
            <w:pPr>
              <w:spacing w:after="0"/>
              <w:rPr>
                <w:rFonts w:eastAsiaTheme="minorEastAsia"/>
                <w:color w:val="4472C4" w:themeColor="accent1"/>
                <w:sz w:val="18"/>
                <w:szCs w:val="18"/>
              </w:rPr>
            </w:pPr>
            <w:r w:rsidRPr="4DCF16DC">
              <w:rPr>
                <w:rFonts w:eastAsiaTheme="minorEastAsia"/>
                <w:color w:val="4472C4" w:themeColor="accent1"/>
                <w:sz w:val="18"/>
                <w:szCs w:val="18"/>
              </w:rPr>
              <w:t xml:space="preserve"> 2</w:t>
            </w:r>
          </w:p>
        </w:tc>
      </w:tr>
      <w:tr w:rsidR="5AB0C6CE" w14:paraId="1D4B4D37" w14:textId="77777777" w:rsidTr="4DCF16DC">
        <w:trPr>
          <w:trHeight w:val="300"/>
        </w:trPr>
        <w:tc>
          <w:tcPr>
            <w:tcW w:w="2837" w:type="dxa"/>
          </w:tcPr>
          <w:p w14:paraId="237B6EA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7833973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0B8F892B" w14:textId="2D1936D0" w:rsidR="5AB0C6CE" w:rsidRDefault="70089264" w:rsidP="4DCF16DC">
            <w:pPr>
              <w:spacing w:after="0"/>
              <w:rPr>
                <w:rFonts w:eastAsiaTheme="minorEastAsia"/>
                <w:sz w:val="18"/>
                <w:szCs w:val="18"/>
              </w:rPr>
            </w:pPr>
            <w:r w:rsidRPr="4DCF16DC">
              <w:rPr>
                <w:rFonts w:eastAsiaTheme="minorEastAsia"/>
                <w:sz w:val="18"/>
                <w:szCs w:val="18"/>
              </w:rPr>
              <w:t xml:space="preserve"> Purpose: The purpose of this study was to establish the minimal number of days of monitoring required for accelerometers to assess usual physical activity in children. Methods: A total of 381 students (189 M, 192 F) wore a CSA 7164 uniaxial accelerometer for seven consecutive days.</w:t>
            </w:r>
          </w:p>
          <w:p w14:paraId="1ADA0947" w14:textId="1D4C91E0" w:rsidR="5AB0C6CE" w:rsidRDefault="70089264" w:rsidP="4DCF16DC">
            <w:pPr>
              <w:spacing w:after="0"/>
              <w:rPr>
                <w:rFonts w:eastAsiaTheme="minorEastAsia"/>
                <w:sz w:val="18"/>
                <w:szCs w:val="18"/>
              </w:rPr>
            </w:pPr>
            <w:r w:rsidRPr="4DCF16DC">
              <w:rPr>
                <w:rFonts w:eastAsiaTheme="minorEastAsia"/>
                <w:sz w:val="18"/>
                <w:szCs w:val="18"/>
              </w:rPr>
              <w:t>To examine age-related trends students were grouped as follows: Group I: grades 1–3 (N 5 92); Group II: grades 4–6 (N 5 98); Group</w:t>
            </w:r>
          </w:p>
          <w:p w14:paraId="073076F6" w14:textId="55963308" w:rsidR="5AB0C6CE" w:rsidRDefault="70089264" w:rsidP="4DCF16DC">
            <w:pPr>
              <w:spacing w:after="0"/>
              <w:rPr>
                <w:rFonts w:eastAsiaTheme="minorEastAsia"/>
                <w:sz w:val="18"/>
                <w:szCs w:val="18"/>
              </w:rPr>
            </w:pPr>
            <w:r w:rsidRPr="4DCF16DC">
              <w:rPr>
                <w:rFonts w:eastAsiaTheme="minorEastAsia"/>
                <w:sz w:val="18"/>
                <w:szCs w:val="18"/>
              </w:rPr>
              <w:t>III: grades 7–9 (N 5 97); Group IV: grades 10–12 (N 5 94). Average daily time spent in moderate-to-vigorous physical activity</w:t>
            </w:r>
          </w:p>
          <w:p w14:paraId="359E37E2" w14:textId="4B0AE351" w:rsidR="5AB0C6CE" w:rsidRDefault="70089264" w:rsidP="4DCF16DC">
            <w:pPr>
              <w:spacing w:after="0"/>
              <w:rPr>
                <w:rFonts w:eastAsiaTheme="minorEastAsia"/>
                <w:sz w:val="18"/>
                <w:szCs w:val="18"/>
              </w:rPr>
            </w:pPr>
            <w:r w:rsidRPr="4DCF16DC">
              <w:rPr>
                <w:rFonts w:eastAsiaTheme="minorEastAsia"/>
                <w:sz w:val="18"/>
                <w:szCs w:val="18"/>
              </w:rPr>
              <w:t>(MVPA) was calculated from minute-by-minute activity counts using the regression equation developed by Freedson et al. (1997).</w:t>
            </w:r>
          </w:p>
          <w:p w14:paraId="0EC50F90" w14:textId="6AADB08B" w:rsidR="5AB0C6CE" w:rsidRDefault="70089264" w:rsidP="4DCF16DC">
            <w:pPr>
              <w:spacing w:after="0"/>
              <w:rPr>
                <w:rFonts w:eastAsiaTheme="minorEastAsia"/>
                <w:sz w:val="18"/>
                <w:szCs w:val="18"/>
              </w:rPr>
            </w:pPr>
            <w:r w:rsidRPr="4DCF16DC">
              <w:rPr>
                <w:rFonts w:eastAsiaTheme="minorEastAsia"/>
                <w:sz w:val="18"/>
                <w:szCs w:val="18"/>
              </w:rPr>
              <w:t>Results: Compared with adolescents in grades 7 to 12, children in grades 1 to 6 exhibited less day-to-day variability in MVPA behavior.</w:t>
            </w:r>
          </w:p>
          <w:p w14:paraId="7828C456" w14:textId="18A90ACA" w:rsidR="5AB0C6CE" w:rsidRDefault="70089264" w:rsidP="4DCF16DC">
            <w:pPr>
              <w:spacing w:after="0"/>
              <w:rPr>
                <w:rFonts w:eastAsiaTheme="minorEastAsia"/>
                <w:sz w:val="18"/>
                <w:szCs w:val="18"/>
              </w:rPr>
            </w:pPr>
            <w:r w:rsidRPr="4DCF16DC">
              <w:rPr>
                <w:rFonts w:eastAsiaTheme="minorEastAsia"/>
                <w:sz w:val="18"/>
                <w:szCs w:val="18"/>
              </w:rPr>
              <w:t>Spearman-Brown analyses indicated that between 4 and 5 d of monitoring would be necessary to a achieve a reliability of 0.80 in</w:t>
            </w:r>
          </w:p>
          <w:p w14:paraId="31901B0D" w14:textId="1792D327" w:rsidR="5AB0C6CE" w:rsidRDefault="70089264" w:rsidP="4DCF16DC">
            <w:pPr>
              <w:spacing w:after="0"/>
              <w:rPr>
                <w:rFonts w:eastAsiaTheme="minorEastAsia"/>
                <w:sz w:val="18"/>
                <w:szCs w:val="18"/>
              </w:rPr>
            </w:pPr>
            <w:r w:rsidRPr="4DCF16DC">
              <w:rPr>
                <w:rFonts w:eastAsiaTheme="minorEastAsia"/>
                <w:sz w:val="18"/>
                <w:szCs w:val="18"/>
              </w:rPr>
              <w:t>children, and between 8 and 9 d of monitoring would be necessary to achieve a reliability of 0.80 in adolescents. Within all grade levels,</w:t>
            </w:r>
          </w:p>
          <w:p w14:paraId="5F674ED9" w14:textId="3ADC2E82" w:rsidR="5AB0C6CE" w:rsidRDefault="70089264" w:rsidP="4DCF16DC">
            <w:pPr>
              <w:spacing w:after="0"/>
              <w:rPr>
                <w:rFonts w:eastAsiaTheme="minorEastAsia"/>
                <w:sz w:val="18"/>
                <w:szCs w:val="18"/>
              </w:rPr>
            </w:pPr>
            <w:r w:rsidRPr="4DCF16DC">
              <w:rPr>
                <w:rFonts w:eastAsiaTheme="minorEastAsia"/>
                <w:sz w:val="18"/>
                <w:szCs w:val="18"/>
              </w:rPr>
              <w:t>the 7-d monitoring protocol produced acceptable estimates of daily participation in MVPA (R 5 0.76 (0.71– 0.81) to 0.87 (0.84–0.90)).</w:t>
            </w:r>
          </w:p>
          <w:p w14:paraId="3282CFC3" w14:textId="0A4D30EE" w:rsidR="5AB0C6CE" w:rsidRDefault="70089264" w:rsidP="4DCF16DC">
            <w:pPr>
              <w:spacing w:after="0"/>
              <w:rPr>
                <w:rFonts w:eastAsiaTheme="minorEastAsia"/>
                <w:sz w:val="18"/>
                <w:szCs w:val="18"/>
              </w:rPr>
            </w:pPr>
            <w:r w:rsidRPr="4DCF16DC">
              <w:rPr>
                <w:rFonts w:eastAsiaTheme="minorEastAsia"/>
                <w:sz w:val="18"/>
                <w:szCs w:val="18"/>
              </w:rPr>
              <w:t>Compared with weekdays, children exhibited significantly higher levels of MVPA on weekends, whereas adolescents exhibited</w:t>
            </w:r>
          </w:p>
          <w:p w14:paraId="753AAA35" w14:textId="1791D4E3" w:rsidR="5AB0C6CE" w:rsidRDefault="70089264" w:rsidP="4DCF16DC">
            <w:pPr>
              <w:spacing w:after="0"/>
              <w:rPr>
                <w:rFonts w:eastAsiaTheme="minorEastAsia"/>
                <w:sz w:val="18"/>
                <w:szCs w:val="18"/>
              </w:rPr>
            </w:pPr>
            <w:r w:rsidRPr="4DCF16DC">
              <w:rPr>
                <w:rFonts w:eastAsiaTheme="minorEastAsia"/>
                <w:sz w:val="18"/>
                <w:szCs w:val="18"/>
              </w:rPr>
              <w:t>significantly lower levels of MVPA on weekends. Principal components analysis revealed two distinct time components for MVPA</w:t>
            </w:r>
          </w:p>
          <w:p w14:paraId="39358646" w14:textId="4B36E00F" w:rsidR="5AB0C6CE" w:rsidRDefault="70089264" w:rsidP="4DCF16DC">
            <w:pPr>
              <w:spacing w:after="0"/>
              <w:rPr>
                <w:rFonts w:eastAsiaTheme="minorEastAsia"/>
                <w:sz w:val="18"/>
                <w:szCs w:val="18"/>
              </w:rPr>
            </w:pPr>
            <w:r w:rsidRPr="4DCF16DC">
              <w:rPr>
                <w:rFonts w:eastAsiaTheme="minorEastAsia"/>
                <w:sz w:val="18"/>
                <w:szCs w:val="18"/>
              </w:rPr>
              <w:t>during the day for children (early morning, rest of the day), and three distinct time components for MVPA during the day for adolescents</w:t>
            </w:r>
          </w:p>
          <w:p w14:paraId="43057DC5" w14:textId="0DB67768" w:rsidR="5AB0C6CE" w:rsidRDefault="70089264" w:rsidP="4DCF16DC">
            <w:pPr>
              <w:spacing w:after="0"/>
              <w:rPr>
                <w:rFonts w:eastAsiaTheme="minorEastAsia"/>
                <w:sz w:val="18"/>
                <w:szCs w:val="18"/>
              </w:rPr>
            </w:pPr>
            <w:r w:rsidRPr="4DCF16DC">
              <w:rPr>
                <w:rFonts w:eastAsiaTheme="minorEastAsia"/>
                <w:sz w:val="18"/>
                <w:szCs w:val="18"/>
              </w:rPr>
              <w:t>(morning, afternoon, early evening). Conclusions: These results indicate that a 7-d monitoring protocol provides reliable estimates of</w:t>
            </w:r>
          </w:p>
          <w:p w14:paraId="66484748" w14:textId="688D795A" w:rsidR="5AB0C6CE" w:rsidRDefault="70089264" w:rsidP="4DCF16DC">
            <w:pPr>
              <w:spacing w:after="0"/>
              <w:rPr>
                <w:rFonts w:eastAsiaTheme="minorEastAsia"/>
                <w:sz w:val="18"/>
                <w:szCs w:val="18"/>
              </w:rPr>
            </w:pPr>
            <w:r w:rsidRPr="4DCF16DC">
              <w:rPr>
                <w:rFonts w:eastAsiaTheme="minorEastAsia"/>
                <w:sz w:val="18"/>
                <w:szCs w:val="18"/>
              </w:rPr>
              <w:t>usual physical activity behavior in children and adolescents and accounts for potentially important differences in weekend versus</w:t>
            </w:r>
          </w:p>
          <w:p w14:paraId="3046B7CF" w14:textId="2B5C7A13" w:rsidR="5AB0C6CE" w:rsidRDefault="70089264" w:rsidP="4DCF16DC">
            <w:pPr>
              <w:spacing w:after="0"/>
              <w:rPr>
                <w:rFonts w:eastAsiaTheme="minorEastAsia"/>
                <w:sz w:val="18"/>
                <w:szCs w:val="18"/>
              </w:rPr>
            </w:pPr>
            <w:r w:rsidRPr="4DCF16DC">
              <w:rPr>
                <w:rFonts w:eastAsiaTheme="minorEastAsia"/>
                <w:sz w:val="18"/>
                <w:szCs w:val="18"/>
              </w:rPr>
              <w:t>weekday activity behavior as well as differences in activity patterns within a given day</w:t>
            </w:r>
          </w:p>
        </w:tc>
      </w:tr>
      <w:tr w:rsidR="5AB0C6CE" w14:paraId="6B2A6D79" w14:textId="77777777" w:rsidTr="4DCF16DC">
        <w:trPr>
          <w:trHeight w:val="300"/>
        </w:trPr>
        <w:tc>
          <w:tcPr>
            <w:tcW w:w="2837" w:type="dxa"/>
          </w:tcPr>
          <w:p w14:paraId="77AADDC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51278D3E" w14:textId="5790A3ED" w:rsidR="5637ED37" w:rsidRDefault="22219EFA" w:rsidP="4DCF16DC">
            <w:pPr>
              <w:spacing w:after="0" w:line="240" w:lineRule="auto"/>
              <w:rPr>
                <w:rFonts w:eastAsiaTheme="minorEastAsia"/>
                <w:sz w:val="18"/>
                <w:szCs w:val="18"/>
                <w:lang w:eastAsia="hr-HR"/>
              </w:rPr>
            </w:pPr>
            <w:r w:rsidRPr="4DCF16DC">
              <w:rPr>
                <w:rFonts w:eastAsiaTheme="minorEastAsia"/>
                <w:sz w:val="18"/>
                <w:szCs w:val="18"/>
                <w:lang w:eastAsia="hr-HR"/>
              </w:rPr>
              <w:t>Akcelerometri, djeca, adolescenti, pouzdanost</w:t>
            </w:r>
          </w:p>
        </w:tc>
      </w:tr>
      <w:tr w:rsidR="5AB0C6CE" w14:paraId="2F8E9376" w14:textId="77777777" w:rsidTr="4DCF16DC">
        <w:trPr>
          <w:trHeight w:val="300"/>
        </w:trPr>
        <w:tc>
          <w:tcPr>
            <w:tcW w:w="2837" w:type="dxa"/>
          </w:tcPr>
          <w:p w14:paraId="05AD660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41E75943" w14:textId="114A366F" w:rsidR="2249F92E" w:rsidRDefault="787F7501" w:rsidP="4DCF16DC">
            <w:pPr>
              <w:spacing w:after="0" w:line="240" w:lineRule="auto"/>
              <w:rPr>
                <w:rFonts w:eastAsiaTheme="minorEastAsia"/>
                <w:sz w:val="18"/>
                <w:szCs w:val="18"/>
                <w:lang w:eastAsia="hr-HR"/>
              </w:rPr>
            </w:pPr>
            <w:r w:rsidRPr="4DCF16DC">
              <w:rPr>
                <w:rFonts w:eastAsiaTheme="minorEastAsia"/>
                <w:sz w:val="18"/>
                <w:szCs w:val="18"/>
                <w:lang w:eastAsia="hr-HR"/>
              </w:rPr>
              <w:t>Presječna studija koja uključuje 381 sudionika u dobi od 6-17 godina i analizira koliko dana mjerenja TA je potrebno da bi se postigla zadovoljavajuća pouzdanost</w:t>
            </w:r>
            <w:r w:rsidR="4938A704" w:rsidRPr="4DCF16DC">
              <w:rPr>
                <w:rFonts w:eastAsiaTheme="minorEastAsia"/>
                <w:sz w:val="18"/>
                <w:szCs w:val="18"/>
                <w:lang w:eastAsia="hr-HR"/>
              </w:rPr>
              <w:t>.</w:t>
            </w:r>
          </w:p>
        </w:tc>
      </w:tr>
      <w:tr w:rsidR="5AB0C6CE" w14:paraId="4B20FB11" w14:textId="77777777" w:rsidTr="4DCF16DC">
        <w:trPr>
          <w:trHeight w:val="300"/>
        </w:trPr>
        <w:tc>
          <w:tcPr>
            <w:tcW w:w="2837" w:type="dxa"/>
          </w:tcPr>
          <w:p w14:paraId="13BC27C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03D40BE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F042C8F" w14:textId="1A864188" w:rsidR="3504847F" w:rsidRDefault="2297343F" w:rsidP="4DCF16DC">
            <w:pPr>
              <w:spacing w:before="240" w:after="240" w:line="240" w:lineRule="auto"/>
              <w:rPr>
                <w:rFonts w:eastAsiaTheme="minorEastAsia"/>
                <w:sz w:val="18"/>
                <w:szCs w:val="18"/>
                <w:lang w:val="en-US"/>
              </w:rPr>
            </w:pPr>
            <w:r w:rsidRPr="4DCF16DC">
              <w:rPr>
                <w:rFonts w:eastAsiaTheme="minorEastAsia"/>
                <w:sz w:val="18"/>
                <w:szCs w:val="18"/>
                <w:lang w:val="en-US"/>
              </w:rPr>
              <w:t>Kako bi se ispitale moguće razlike povezane s dobi, sudionici su podijeljeni u četiri dobne skupine. Skupina I obuhvaćala je učenike od 1. do 3. razreda (N = 261), skupina II učenike od 4. do 6. razreda (N = 291), skupina III učenike od 7. do 9. razreda (N = 332), a skupina IV učenike od 10. do 12. razreda (N = 226).</w:t>
            </w:r>
          </w:p>
          <w:p w14:paraId="4D5885FE" w14:textId="4B4077F0" w:rsidR="3504847F" w:rsidRDefault="2297343F" w:rsidP="4DCF16DC">
            <w:pPr>
              <w:spacing w:before="240" w:after="240" w:line="240" w:lineRule="auto"/>
              <w:rPr>
                <w:rFonts w:eastAsiaTheme="minorEastAsia"/>
                <w:sz w:val="18"/>
                <w:szCs w:val="18"/>
                <w:lang w:val="en-US"/>
              </w:rPr>
            </w:pPr>
            <w:r w:rsidRPr="4DCF16DC">
              <w:rPr>
                <w:rFonts w:eastAsiaTheme="minorEastAsia"/>
                <w:sz w:val="18"/>
                <w:szCs w:val="18"/>
                <w:lang w:val="en-US"/>
              </w:rPr>
              <w:t>Koeficijenti pouzdanosti pokazali su jasan trend povezan s dobi, pri čemu su veći koeficijenti zabilježeni kod učenika u skupinama I i II u odnosu na skupine III i IV. Općenito, pouzdanost MVPA rezultata dobivenih praćenjem jednog dana bila je niska, u rasponu od 0,31 kod učenika skupine IV do 0,49 kod učenika skupine II. Nasuprot tome, pouzdanost dnevnih MVPA rezultata dobivenih praćenjem u trajanju od 7 dana bila je prihvatljiva (≥0,70), u rasponu od 0,76 kod učenika skupine IV do 0,87 kod učenika skupine II.</w:t>
            </w:r>
          </w:p>
          <w:p w14:paraId="2360004B" w14:textId="3DF51D22" w:rsidR="3504847F" w:rsidRDefault="2297343F" w:rsidP="4DCF16DC">
            <w:pPr>
              <w:spacing w:before="240" w:after="240" w:line="240" w:lineRule="auto"/>
              <w:rPr>
                <w:rFonts w:eastAsiaTheme="minorEastAsia"/>
                <w:sz w:val="18"/>
                <w:szCs w:val="18"/>
                <w:lang w:val="en-US"/>
              </w:rPr>
            </w:pPr>
            <w:r w:rsidRPr="4DCF16DC">
              <w:rPr>
                <w:rFonts w:eastAsiaTheme="minorEastAsia"/>
                <w:sz w:val="18"/>
                <w:szCs w:val="18"/>
                <w:lang w:val="en-US"/>
              </w:rPr>
              <w:t>Analiza Spearman-Brown pokazala je da je za djecu (1. do 6. razred) potrebno između 2 i 3 dana praćenja kako bi se postigla pouzdanost od 0,70, između 4 i 5 dana za pouzdanost od 0,80, te između 9 i 11 dana za pouzdanost od 0,90. Kod adolescenata (7. do 12. razred) potrebno je između 4 i 5 dana praćenja za pouzdanost od 0,70, između 8 i 9 dana za pouzdanost od 0,80, te između 18 i 20 dana za pouzdanost od 0,90.</w:t>
            </w:r>
          </w:p>
          <w:p w14:paraId="54238EE1" w14:textId="5BE15DDE" w:rsidR="3504847F" w:rsidRDefault="2297343F" w:rsidP="4DCF16DC">
            <w:pPr>
              <w:spacing w:before="240" w:after="240" w:line="240" w:lineRule="auto"/>
              <w:rPr>
                <w:rFonts w:eastAsiaTheme="minorEastAsia"/>
                <w:sz w:val="18"/>
                <w:szCs w:val="18"/>
                <w:lang w:val="en-US"/>
              </w:rPr>
            </w:pPr>
            <w:r w:rsidRPr="4DCF16DC">
              <w:rPr>
                <w:rFonts w:eastAsiaTheme="minorEastAsia"/>
                <w:sz w:val="18"/>
                <w:szCs w:val="18"/>
                <w:lang w:val="en-US"/>
              </w:rPr>
              <w:t>U usporedbi s radnim danima, djevojčice u skupini I pokazale su značajno veće MVPA rezultate vikendom, dok su djevojčice u skupini II imale slične količine MVPA vikendom u odnosu na radne dane. Djevojčice u skupinama III i IV pokazale su značajno manju količinu MVPA vikendom u odnosu na radne dane.</w:t>
            </w:r>
          </w:p>
          <w:p w14:paraId="0DF4FF1A" w14:textId="371E2BA7" w:rsidR="3504847F" w:rsidRDefault="2297343F" w:rsidP="4DCF16DC">
            <w:pPr>
              <w:spacing w:before="240" w:after="240" w:line="240" w:lineRule="auto"/>
              <w:rPr>
                <w:rFonts w:eastAsiaTheme="minorEastAsia"/>
                <w:sz w:val="18"/>
                <w:szCs w:val="18"/>
                <w:lang w:val="en-US"/>
              </w:rPr>
            </w:pPr>
            <w:r w:rsidRPr="4DCF16DC">
              <w:rPr>
                <w:rFonts w:eastAsiaTheme="minorEastAsia"/>
                <w:sz w:val="18"/>
                <w:szCs w:val="18"/>
                <w:lang w:val="en-US"/>
              </w:rPr>
              <w:t>Uspoređujući s radnim danima, dječaci u skupinama I i II imali su značajno veću MVPA vikendom, dok su dječaci u skupini IV imali značajno manju MVPA vikendom. Dječaci u skupini III izvijestili su o sličnim količinama MVPA vikendom i radnim danima.</w:t>
            </w:r>
          </w:p>
          <w:p w14:paraId="47C20987" w14:textId="15AF1CCC" w:rsidR="3504847F" w:rsidRDefault="3504847F" w:rsidP="4DCF16DC">
            <w:pPr>
              <w:spacing w:after="0" w:line="240" w:lineRule="auto"/>
              <w:rPr>
                <w:rFonts w:eastAsiaTheme="minorEastAsia"/>
                <w:sz w:val="18"/>
                <w:szCs w:val="18"/>
                <w:lang w:val="en-US" w:eastAsia="hr-HR"/>
              </w:rPr>
            </w:pPr>
          </w:p>
        </w:tc>
      </w:tr>
      <w:tr w:rsidR="5AB0C6CE" w14:paraId="0BF50132" w14:textId="77777777" w:rsidTr="4DCF16DC">
        <w:trPr>
          <w:trHeight w:val="300"/>
        </w:trPr>
        <w:tc>
          <w:tcPr>
            <w:tcW w:w="2837" w:type="dxa"/>
          </w:tcPr>
          <w:p w14:paraId="46CEBC3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1643E73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16A43DD7" w14:textId="1751123D" w:rsidR="69BFF940" w:rsidRDefault="2458EE38" w:rsidP="4DCF16DC">
            <w:pPr>
              <w:spacing w:after="0" w:line="240" w:lineRule="auto"/>
              <w:rPr>
                <w:rFonts w:eastAsiaTheme="minorEastAsia"/>
                <w:sz w:val="18"/>
                <w:szCs w:val="18"/>
                <w:lang w:eastAsia="hr-HR"/>
              </w:rPr>
            </w:pPr>
            <w:r w:rsidRPr="4DCF16DC">
              <w:rPr>
                <w:rFonts w:eastAsiaTheme="minorEastAsia"/>
                <w:sz w:val="18"/>
                <w:szCs w:val="18"/>
                <w:lang w:eastAsia="hr-HR"/>
              </w:rPr>
              <w:t>Može se koristiti kao referenca da je 4 dana mjerenja TA dovoljno pouzdan interval.</w:t>
            </w:r>
          </w:p>
        </w:tc>
      </w:tr>
      <w:tr w:rsidR="5AB0C6CE" w14:paraId="1053C767" w14:textId="77777777" w:rsidTr="4DCF16DC">
        <w:trPr>
          <w:trHeight w:val="300"/>
        </w:trPr>
        <w:tc>
          <w:tcPr>
            <w:tcW w:w="2837" w:type="dxa"/>
          </w:tcPr>
          <w:p w14:paraId="07367FF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1666FD54" w14:textId="77777777" w:rsidR="5AB0C6CE" w:rsidRDefault="5AB0C6CE" w:rsidP="4DCF16DC">
            <w:pPr>
              <w:spacing w:after="0" w:line="240" w:lineRule="auto"/>
              <w:rPr>
                <w:rFonts w:eastAsiaTheme="minorEastAsia"/>
                <w:sz w:val="18"/>
                <w:szCs w:val="18"/>
                <w:lang w:eastAsia="hr-HR"/>
              </w:rPr>
            </w:pPr>
          </w:p>
        </w:tc>
      </w:tr>
    </w:tbl>
    <w:p w14:paraId="3A697139" w14:textId="415EE809" w:rsidR="5AB0C6CE" w:rsidRDefault="5AB0C6CE"/>
    <w:p w14:paraId="0D4C5BD2" w14:textId="4B02E120"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64F094A5" w14:textId="77777777" w:rsidTr="4DCF16DC">
        <w:trPr>
          <w:trHeight w:val="300"/>
        </w:trPr>
        <w:tc>
          <w:tcPr>
            <w:tcW w:w="2837" w:type="dxa"/>
          </w:tcPr>
          <w:p w14:paraId="2AFD6ABE" w14:textId="32A11DCD"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2020C76F" w14:textId="20589719" w:rsidR="15B1CC1C" w:rsidRDefault="52E2FD0D" w:rsidP="4DCF16DC">
            <w:pPr>
              <w:spacing w:after="0" w:line="240" w:lineRule="auto"/>
              <w:rPr>
                <w:rFonts w:eastAsiaTheme="minorEastAsia"/>
                <w:sz w:val="18"/>
                <w:szCs w:val="18"/>
                <w:lang w:val="en-US"/>
              </w:rPr>
            </w:pPr>
            <w:r w:rsidRPr="4DCF16DC">
              <w:rPr>
                <w:rFonts w:eastAsiaTheme="minorEastAsia"/>
                <w:sz w:val="18"/>
                <w:szCs w:val="18"/>
                <w:lang w:val="en-US"/>
              </w:rPr>
              <w:t xml:space="preserve">Migueles, J. H., Cadenas-Sanchez, C., Ekelund, U., Delisle Nyström, C., Mora-Gonzalez, J., Löf, M., Labayen, I., Ruiz, J. R., Ortega, F. B., &amp; et al. (2017). Accelerometer data collection and processing criteria to assess physical activity and other outcomes: A systematic review and practical considerations. </w:t>
            </w:r>
            <w:r w:rsidRPr="4DCF16DC">
              <w:rPr>
                <w:rFonts w:eastAsiaTheme="minorEastAsia"/>
                <w:i/>
                <w:iCs/>
                <w:sz w:val="18"/>
                <w:szCs w:val="18"/>
                <w:lang w:val="en-US"/>
              </w:rPr>
              <w:t>Sports Medicine, 47</w:t>
            </w:r>
            <w:r w:rsidRPr="4DCF16DC">
              <w:rPr>
                <w:rFonts w:eastAsiaTheme="minorEastAsia"/>
                <w:sz w:val="18"/>
                <w:szCs w:val="18"/>
                <w:lang w:val="en-US"/>
              </w:rPr>
              <w:t xml:space="preserve">, 1821–1845. </w:t>
            </w:r>
            <w:hyperlink r:id="rId28">
              <w:r w:rsidRPr="4DCF16DC">
                <w:rPr>
                  <w:rStyle w:val="Hiperveza"/>
                  <w:rFonts w:eastAsiaTheme="minorEastAsia"/>
                  <w:sz w:val="18"/>
                  <w:szCs w:val="18"/>
                  <w:lang w:val="en-US"/>
                </w:rPr>
                <w:t>https://doi.org/10.1007/s40279-017-0716-0</w:t>
              </w:r>
            </w:hyperlink>
          </w:p>
          <w:p w14:paraId="027B396F" w14:textId="6F62B993" w:rsidR="15B1CC1C" w:rsidRDefault="15B1CC1C" w:rsidP="4DCF16DC">
            <w:pPr>
              <w:spacing w:after="0" w:line="240" w:lineRule="auto"/>
              <w:rPr>
                <w:rFonts w:eastAsiaTheme="minorEastAsia"/>
                <w:b/>
                <w:bCs/>
                <w:sz w:val="18"/>
                <w:szCs w:val="18"/>
                <w:lang w:eastAsia="hr-HR"/>
              </w:rPr>
            </w:pPr>
          </w:p>
        </w:tc>
      </w:tr>
      <w:tr w:rsidR="5AB0C6CE" w14:paraId="6656509E" w14:textId="77777777" w:rsidTr="4DCF16DC">
        <w:trPr>
          <w:trHeight w:val="300"/>
        </w:trPr>
        <w:tc>
          <w:tcPr>
            <w:tcW w:w="2837" w:type="dxa"/>
          </w:tcPr>
          <w:p w14:paraId="713A083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500FC0B2" w14:textId="73240777" w:rsidR="6963064D" w:rsidRDefault="645CCAC8" w:rsidP="4DCF16DC">
            <w:pPr>
              <w:spacing w:after="0" w:line="240" w:lineRule="auto"/>
              <w:rPr>
                <w:rFonts w:eastAsiaTheme="minorEastAsia"/>
                <w:sz w:val="18"/>
                <w:szCs w:val="18"/>
                <w:lang w:eastAsia="hr-HR"/>
              </w:rPr>
            </w:pPr>
            <w:r w:rsidRPr="4DCF16DC">
              <w:rPr>
                <w:rFonts w:eastAsiaTheme="minorEastAsia"/>
                <w:sz w:val="18"/>
                <w:szCs w:val="18"/>
                <w:lang w:eastAsia="hr-HR"/>
              </w:rPr>
              <w:t>https://link.springer.com/article/10.1007/s40279-017-0716-0</w:t>
            </w:r>
          </w:p>
        </w:tc>
      </w:tr>
      <w:tr w:rsidR="5AB0C6CE" w14:paraId="54188C05" w14:textId="77777777" w:rsidTr="4DCF16DC">
        <w:trPr>
          <w:trHeight w:val="300"/>
        </w:trPr>
        <w:tc>
          <w:tcPr>
            <w:tcW w:w="2837" w:type="dxa"/>
          </w:tcPr>
          <w:p w14:paraId="55565A8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224AB8E7" w14:textId="1E002FB2" w:rsidR="39E22BB2" w:rsidRDefault="4AAAEEF7" w:rsidP="4DCF16DC">
            <w:pPr>
              <w:spacing w:after="0" w:line="240" w:lineRule="auto"/>
              <w:rPr>
                <w:rFonts w:eastAsiaTheme="minorEastAsia"/>
                <w:sz w:val="18"/>
                <w:szCs w:val="18"/>
                <w:lang w:eastAsia="hr-HR"/>
              </w:rPr>
            </w:pPr>
            <w:r w:rsidRPr="4DCF16DC">
              <w:rPr>
                <w:rFonts w:eastAsiaTheme="minorEastAsia"/>
                <w:sz w:val="18"/>
                <w:szCs w:val="18"/>
                <w:lang w:eastAsia="hr-HR"/>
              </w:rPr>
              <w:t>Validacija TP</w:t>
            </w:r>
          </w:p>
        </w:tc>
      </w:tr>
      <w:tr w:rsidR="5AB0C6CE" w14:paraId="40C40264" w14:textId="77777777" w:rsidTr="4DCF16DC">
        <w:trPr>
          <w:trHeight w:val="300"/>
        </w:trPr>
        <w:tc>
          <w:tcPr>
            <w:tcW w:w="2837" w:type="dxa"/>
          </w:tcPr>
          <w:p w14:paraId="513F4913"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392CA559" w14:textId="3B021A51" w:rsidR="798B9109" w:rsidRDefault="6784B191" w:rsidP="4DCF16DC">
            <w:pPr>
              <w:spacing w:after="0" w:line="240" w:lineRule="auto"/>
              <w:rPr>
                <w:rFonts w:eastAsiaTheme="minorEastAsia"/>
                <w:sz w:val="18"/>
                <w:szCs w:val="18"/>
                <w:lang w:eastAsia="hr-HR"/>
              </w:rPr>
            </w:pPr>
            <w:r w:rsidRPr="4DCF16DC">
              <w:rPr>
                <w:rFonts w:eastAsiaTheme="minorEastAsia"/>
                <w:sz w:val="18"/>
                <w:szCs w:val="18"/>
                <w:lang w:eastAsia="hr-HR"/>
              </w:rPr>
              <w:t>Maroje</w:t>
            </w:r>
            <w:r w:rsidR="16C84A16" w:rsidRPr="4DCF16DC">
              <w:rPr>
                <w:rFonts w:eastAsiaTheme="minorEastAsia"/>
                <w:sz w:val="18"/>
                <w:szCs w:val="18"/>
                <w:lang w:eastAsia="hr-HR"/>
              </w:rPr>
              <w:t xml:space="preserve"> Sorić</w:t>
            </w:r>
          </w:p>
        </w:tc>
      </w:tr>
      <w:tr w:rsidR="5AB0C6CE" w14:paraId="43DD291D" w14:textId="77777777" w:rsidTr="4DCF16DC">
        <w:trPr>
          <w:trHeight w:val="300"/>
        </w:trPr>
        <w:tc>
          <w:tcPr>
            <w:tcW w:w="2837" w:type="dxa"/>
          </w:tcPr>
          <w:p w14:paraId="3701731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4D003AAF"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CE78FC7"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44FD09B9"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2C2B2259"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2476A517" w14:textId="049A38F6" w:rsidR="3C13100C" w:rsidRDefault="2DDE9E04"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5AB0C6CE" w14:paraId="7C98A04F" w14:textId="77777777" w:rsidTr="4DCF16DC">
        <w:trPr>
          <w:trHeight w:val="300"/>
        </w:trPr>
        <w:tc>
          <w:tcPr>
            <w:tcW w:w="2837" w:type="dxa"/>
          </w:tcPr>
          <w:p w14:paraId="0C18467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2153DE5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EBF1CCE" w14:textId="467344F0"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Background</w:t>
            </w:r>
          </w:p>
          <w:p w14:paraId="1925FE1E" w14:textId="1E94AE33"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Accelerometers are widely used to measure sedentary time, physical activity, physical activity energy expenditure (PAEE), and sleep-related behaviors, with the ActiGraph being the most frequently used brand by researchers. However, data collection and processing criteria have evolved in a myriad of ways out of the need to answer unique research questions; as a result there is no consensus.</w:t>
            </w:r>
          </w:p>
          <w:p w14:paraId="3BB84DE6" w14:textId="47DB3F8C"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Objectives</w:t>
            </w:r>
          </w:p>
          <w:p w14:paraId="475268C8" w14:textId="5509F0B9"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The purpose of this review was to: (1) compile and classify existing studies assessing sedentary time, physical activity, energy expenditure, or sleep using the ActiGraph GT3X/+ through data collection and processing criteria to improve data comparability and (2) review data collection and processing criteria when using GT3X/+ and provide age-specific practical considerations based on the validation/calibration studies identified.</w:t>
            </w:r>
          </w:p>
          <w:p w14:paraId="30D0968B" w14:textId="3CC48886"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Methods</w:t>
            </w:r>
          </w:p>
          <w:p w14:paraId="5EC054FD" w14:textId="21DAFD91"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Two independent researchers conducted the search in PubMed and Web of Science. We included all original studies in which the GT3X/+ was used in laboratory, controlled, or free-living conditions published from 1 January 2010 to the 31 December 2015.</w:t>
            </w:r>
          </w:p>
          <w:p w14:paraId="159F0E06" w14:textId="3604238B"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Results</w:t>
            </w:r>
          </w:p>
          <w:p w14:paraId="747059C5" w14:textId="72DE613A"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The present systematic review provides key information about the following data collection and processing criteria: placement, sampling frequency, filter, epoch length, non-wear-time, what constitutes a valid day and a valid week, cut-points for sedentary time and physical activity intensity classification, and algorithms to estimate PAEE and sleep-related behaviors. The information is organized by age group, since criteria are usually age-specific.</w:t>
            </w:r>
          </w:p>
          <w:p w14:paraId="73C35A62" w14:textId="7D9DDFE7"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Conclusion</w:t>
            </w:r>
          </w:p>
          <w:p w14:paraId="5D3DE33C" w14:textId="669C5481" w:rsidR="43452815" w:rsidRDefault="7EDFEA64" w:rsidP="4DCF16DC">
            <w:pPr>
              <w:spacing w:after="0" w:line="240" w:lineRule="auto"/>
              <w:rPr>
                <w:rFonts w:eastAsiaTheme="minorEastAsia"/>
                <w:sz w:val="18"/>
                <w:szCs w:val="18"/>
                <w:lang w:eastAsia="hr-HR"/>
              </w:rPr>
            </w:pPr>
            <w:r w:rsidRPr="4DCF16DC">
              <w:rPr>
                <w:rFonts w:eastAsiaTheme="minorEastAsia"/>
                <w:sz w:val="18"/>
                <w:szCs w:val="18"/>
                <w:lang w:eastAsia="hr-HR"/>
              </w:rPr>
              <w:t>This review will help researchers and practitioners to make better decisions before (i.e., device placement and sampling frequency) and after (i.e., data processing criteria) data collection using the GT3X/+ accelerometer, in order to obtain more valid and comparable data.</w:t>
            </w:r>
          </w:p>
          <w:p w14:paraId="2AE51F83" w14:textId="27761F94" w:rsidR="5AB0C6CE" w:rsidRDefault="5AB0C6CE" w:rsidP="4DCF16DC">
            <w:pPr>
              <w:spacing w:after="0" w:line="240" w:lineRule="auto"/>
              <w:rPr>
                <w:rFonts w:eastAsiaTheme="minorEastAsia"/>
                <w:sz w:val="18"/>
                <w:szCs w:val="18"/>
                <w:lang w:eastAsia="hr-HR"/>
              </w:rPr>
            </w:pPr>
          </w:p>
        </w:tc>
      </w:tr>
      <w:tr w:rsidR="5AB0C6CE" w14:paraId="56AFC0CA" w14:textId="77777777" w:rsidTr="4DCF16DC">
        <w:trPr>
          <w:trHeight w:val="300"/>
        </w:trPr>
        <w:tc>
          <w:tcPr>
            <w:tcW w:w="2837" w:type="dxa"/>
          </w:tcPr>
          <w:p w14:paraId="4EED6FE9"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04DC49D0" w14:textId="7A430027" w:rsidR="4E48B3CF" w:rsidRDefault="54A24AB4" w:rsidP="4DCF16DC">
            <w:pPr>
              <w:spacing w:after="0" w:line="240" w:lineRule="auto"/>
              <w:rPr>
                <w:rFonts w:eastAsiaTheme="minorEastAsia"/>
                <w:sz w:val="18"/>
                <w:szCs w:val="18"/>
                <w:lang w:eastAsia="hr-HR"/>
              </w:rPr>
            </w:pPr>
            <w:r w:rsidRPr="4DCF16DC">
              <w:rPr>
                <w:rFonts w:eastAsiaTheme="minorEastAsia"/>
                <w:sz w:val="18"/>
                <w:szCs w:val="18"/>
                <w:lang w:eastAsia="hr-HR"/>
              </w:rPr>
              <w:t>Akcelerometrija, smjernice, prikupljanje podataka, procesiranje podataka</w:t>
            </w:r>
          </w:p>
        </w:tc>
      </w:tr>
      <w:tr w:rsidR="5AB0C6CE" w14:paraId="615B354E" w14:textId="77777777" w:rsidTr="4DCF16DC">
        <w:trPr>
          <w:trHeight w:val="300"/>
        </w:trPr>
        <w:tc>
          <w:tcPr>
            <w:tcW w:w="2837" w:type="dxa"/>
          </w:tcPr>
          <w:p w14:paraId="679E3E68"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4977521F" w14:textId="72989813" w:rsidR="35FCA7AD" w:rsidRDefault="77D5DA18" w:rsidP="4DCF16DC">
            <w:pPr>
              <w:spacing w:after="0" w:line="240" w:lineRule="auto"/>
              <w:rPr>
                <w:rFonts w:eastAsiaTheme="minorEastAsia"/>
                <w:sz w:val="18"/>
                <w:szCs w:val="18"/>
                <w:lang w:eastAsia="hr-HR"/>
              </w:rPr>
            </w:pPr>
            <w:r w:rsidRPr="4DCF16DC">
              <w:rPr>
                <w:rFonts w:eastAsiaTheme="minorEastAsia"/>
                <w:sz w:val="18"/>
                <w:szCs w:val="18"/>
                <w:lang w:eastAsia="hr-HR"/>
              </w:rPr>
              <w:t>Sustavni rad pruža smjernice za prikupljanje i procesiranje akcelerometrijskih podataka</w:t>
            </w:r>
          </w:p>
        </w:tc>
      </w:tr>
      <w:tr w:rsidR="5AB0C6CE" w14:paraId="694FA3BB" w14:textId="77777777" w:rsidTr="4DCF16DC">
        <w:trPr>
          <w:trHeight w:val="300"/>
        </w:trPr>
        <w:tc>
          <w:tcPr>
            <w:tcW w:w="2837" w:type="dxa"/>
          </w:tcPr>
          <w:p w14:paraId="5B320B2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5AB9D7AB"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7DB0DEE" w14:textId="778ED0E7" w:rsidR="1B6BC22F" w:rsidRDefault="5934FD5E" w:rsidP="4DCF16DC">
            <w:pPr>
              <w:spacing w:after="0" w:line="240" w:lineRule="auto"/>
              <w:rPr>
                <w:rFonts w:eastAsiaTheme="minorEastAsia"/>
                <w:sz w:val="18"/>
                <w:szCs w:val="18"/>
              </w:rPr>
            </w:pPr>
            <w:r>
              <w:rPr>
                <w:noProof/>
              </w:rPr>
              <w:drawing>
                <wp:inline distT="0" distB="0" distL="0" distR="0" wp14:anchorId="49AF20D8" wp14:editId="62D1C8E4">
                  <wp:extent cx="3619500" cy="3933825"/>
                  <wp:effectExtent l="0" t="0" r="0" b="0"/>
                  <wp:docPr id="15927908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90898" name="Picture 1592790898"/>
                          <pic:cNvPicPr/>
                        </pic:nvPicPr>
                        <pic:blipFill>
                          <a:blip r:embed="rId29">
                            <a:extLst>
                              <a:ext uri="{28A0092B-C50C-407E-A947-70E740481C1C}">
                                <a14:useLocalDpi xmlns:a14="http://schemas.microsoft.com/office/drawing/2010/main"/>
                              </a:ext>
                            </a:extLst>
                          </a:blip>
                          <a:stretch>
                            <a:fillRect/>
                          </a:stretch>
                        </pic:blipFill>
                        <pic:spPr>
                          <a:xfrm>
                            <a:off x="0" y="0"/>
                            <a:ext cx="3619500" cy="3933825"/>
                          </a:xfrm>
                          <a:prstGeom prst="rect">
                            <a:avLst/>
                          </a:prstGeom>
                        </pic:spPr>
                      </pic:pic>
                    </a:graphicData>
                  </a:graphic>
                </wp:inline>
              </w:drawing>
            </w:r>
          </w:p>
          <w:p w14:paraId="4EA76C59" w14:textId="7DE6CD4D" w:rsidR="62B5582E" w:rsidRDefault="228A451E" w:rsidP="4DCF16DC">
            <w:pPr>
              <w:spacing w:after="0" w:line="240" w:lineRule="auto"/>
              <w:rPr>
                <w:rFonts w:eastAsiaTheme="minorEastAsia"/>
                <w:sz w:val="18"/>
                <w:szCs w:val="18"/>
                <w:lang w:val="en-US"/>
              </w:rPr>
            </w:pPr>
            <w:r w:rsidRPr="4DCF16DC">
              <w:rPr>
                <w:rFonts w:eastAsiaTheme="minorEastAsia"/>
                <w:sz w:val="18"/>
                <w:szCs w:val="18"/>
                <w:lang w:val="en-US"/>
              </w:rPr>
              <w:t>Tudor-Locke i sur. [36] otkrili su veću usklađenost u nošenju uređaja kod 24-satnih protokola u usporedbi s protokolima tijekom budnih sati, pri čemu je ovaj nalaz bio konzistentan u različitim zemljama.</w:t>
            </w:r>
          </w:p>
        </w:tc>
      </w:tr>
      <w:tr w:rsidR="5AB0C6CE" w14:paraId="14BE9847" w14:textId="77777777" w:rsidTr="4DCF16DC">
        <w:trPr>
          <w:trHeight w:val="300"/>
        </w:trPr>
        <w:tc>
          <w:tcPr>
            <w:tcW w:w="2837" w:type="dxa"/>
          </w:tcPr>
          <w:p w14:paraId="3BEC126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2644C9B0"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06573CC" w14:textId="703C2D1B" w:rsidR="3F357603" w:rsidRDefault="0ABE6F00" w:rsidP="4DCF16DC">
            <w:pPr>
              <w:spacing w:after="0" w:line="240" w:lineRule="auto"/>
              <w:rPr>
                <w:rFonts w:eastAsiaTheme="minorEastAsia"/>
                <w:sz w:val="18"/>
                <w:szCs w:val="18"/>
                <w:lang w:eastAsia="hr-HR"/>
              </w:rPr>
            </w:pPr>
            <w:r w:rsidRPr="4DCF16DC">
              <w:rPr>
                <w:rFonts w:eastAsiaTheme="minorEastAsia"/>
                <w:sz w:val="18"/>
                <w:szCs w:val="18"/>
                <w:lang w:eastAsia="hr-HR"/>
              </w:rPr>
              <w:t>Može se koristiti u kreiranju protokola za mjerenje akcelerometrima i procesiranje podataka u okviru validacijske studije</w:t>
            </w:r>
          </w:p>
        </w:tc>
      </w:tr>
      <w:tr w:rsidR="5AB0C6CE" w14:paraId="0AFD9E87" w14:textId="77777777" w:rsidTr="4DCF16DC">
        <w:trPr>
          <w:trHeight w:val="300"/>
        </w:trPr>
        <w:tc>
          <w:tcPr>
            <w:tcW w:w="2837" w:type="dxa"/>
          </w:tcPr>
          <w:p w14:paraId="4E26F50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0C5C547F" w14:textId="77777777" w:rsidR="5AB0C6CE" w:rsidRDefault="5AB0C6CE" w:rsidP="4DCF16DC">
            <w:pPr>
              <w:spacing w:after="0" w:line="240" w:lineRule="auto"/>
              <w:rPr>
                <w:rFonts w:eastAsiaTheme="minorEastAsia"/>
                <w:sz w:val="18"/>
                <w:szCs w:val="18"/>
                <w:lang w:eastAsia="hr-HR"/>
              </w:rPr>
            </w:pPr>
          </w:p>
        </w:tc>
      </w:tr>
    </w:tbl>
    <w:p w14:paraId="4D2DADA8" w14:textId="686722FB" w:rsidR="5AB0C6CE" w:rsidRDefault="5AB0C6CE"/>
    <w:p w14:paraId="19EA3C5A" w14:textId="24714717"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7C52B51F" w14:textId="77777777" w:rsidTr="4DCF16DC">
        <w:trPr>
          <w:trHeight w:val="300"/>
        </w:trPr>
        <w:tc>
          <w:tcPr>
            <w:tcW w:w="2837" w:type="dxa"/>
          </w:tcPr>
          <w:p w14:paraId="717EDAA1" w14:textId="5FE6347B"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7B701C68" w14:textId="21F2A451" w:rsidR="5AB0C6CE" w:rsidRDefault="4C403FF6" w:rsidP="4DCF16DC">
            <w:pPr>
              <w:spacing w:before="240" w:after="240" w:line="240" w:lineRule="auto"/>
              <w:rPr>
                <w:rFonts w:eastAsiaTheme="minorEastAsia"/>
                <w:sz w:val="18"/>
                <w:szCs w:val="18"/>
                <w:lang w:eastAsia="hr-HR"/>
              </w:rPr>
            </w:pPr>
            <w:r w:rsidRPr="4DCF16DC">
              <w:rPr>
                <w:rFonts w:eastAsiaTheme="minorEastAsia"/>
                <w:sz w:val="18"/>
                <w:szCs w:val="18"/>
                <w:lang w:val="en-US"/>
              </w:rPr>
              <w:t xml:space="preserve">Jerebine, A., Arundell, L., Watson-Mackie, K., Lubans, D. R., &amp; Lonsdale, C. (2024). Effects of holistically conceptualised school-based interventions on children’s physical literacy, physical activity, and other outcomes: A systematic review. </w:t>
            </w:r>
            <w:r w:rsidRPr="4DCF16DC">
              <w:rPr>
                <w:rFonts w:eastAsiaTheme="minorEastAsia"/>
                <w:i/>
                <w:iCs/>
                <w:sz w:val="18"/>
                <w:szCs w:val="18"/>
                <w:lang w:val="en-US"/>
              </w:rPr>
              <w:t>Sports Medicine - Open, 10</w:t>
            </w:r>
            <w:r w:rsidRPr="4DCF16DC">
              <w:rPr>
                <w:rFonts w:eastAsiaTheme="minorEastAsia"/>
                <w:sz w:val="18"/>
                <w:szCs w:val="18"/>
                <w:lang w:val="en-US"/>
              </w:rPr>
              <w:t xml:space="preserve">, Article 105. </w:t>
            </w:r>
            <w:hyperlink r:id="rId30">
              <w:r w:rsidRPr="4DCF16DC">
                <w:rPr>
                  <w:rStyle w:val="Hiperveza"/>
                  <w:rFonts w:eastAsiaTheme="minorEastAsia"/>
                  <w:sz w:val="18"/>
                  <w:szCs w:val="18"/>
                  <w:lang w:val="en-US"/>
                </w:rPr>
                <w:t>https://doi.org/10.1186/s40798-024-00766-w</w:t>
              </w:r>
            </w:hyperlink>
          </w:p>
        </w:tc>
      </w:tr>
      <w:tr w:rsidR="5AB0C6CE" w14:paraId="6208A13A" w14:textId="77777777" w:rsidTr="4DCF16DC">
        <w:trPr>
          <w:trHeight w:val="300"/>
        </w:trPr>
        <w:tc>
          <w:tcPr>
            <w:tcW w:w="2837" w:type="dxa"/>
          </w:tcPr>
          <w:p w14:paraId="6D0578E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68175A2E" w14:textId="2AA483E2" w:rsidR="5AB0C6CE" w:rsidRDefault="000D719D" w:rsidP="4DCF16DC">
            <w:pPr>
              <w:spacing w:after="0" w:line="240" w:lineRule="auto"/>
              <w:rPr>
                <w:rFonts w:eastAsiaTheme="minorEastAsia"/>
                <w:sz w:val="18"/>
                <w:szCs w:val="18"/>
                <w:lang w:eastAsia="hr-HR"/>
              </w:rPr>
            </w:pPr>
            <w:hyperlink r:id="rId31">
              <w:r w:rsidR="4CBD928A" w:rsidRPr="4DCF16DC">
                <w:rPr>
                  <w:rStyle w:val="Hiperveza"/>
                  <w:rFonts w:eastAsiaTheme="minorEastAsia"/>
                  <w:sz w:val="18"/>
                  <w:szCs w:val="18"/>
                  <w:lang w:eastAsia="hr-HR"/>
                </w:rPr>
                <w:t>https://doi.org/10.1186/s40798-024-00766-w</w:t>
              </w:r>
            </w:hyperlink>
            <w:r w:rsidR="4CBD928A" w:rsidRPr="4DCF16DC">
              <w:rPr>
                <w:rFonts w:eastAsiaTheme="minorEastAsia"/>
                <w:sz w:val="18"/>
                <w:szCs w:val="18"/>
                <w:lang w:eastAsia="hr-HR"/>
              </w:rPr>
              <w:t xml:space="preserve"> </w:t>
            </w:r>
          </w:p>
        </w:tc>
      </w:tr>
      <w:tr w:rsidR="5AB0C6CE" w14:paraId="0A202B61" w14:textId="77777777" w:rsidTr="4DCF16DC">
        <w:trPr>
          <w:trHeight w:val="300"/>
        </w:trPr>
        <w:tc>
          <w:tcPr>
            <w:tcW w:w="2837" w:type="dxa"/>
          </w:tcPr>
          <w:p w14:paraId="727CCC2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632F32C2" w14:textId="057ECD1D" w:rsidR="5AB0C6CE" w:rsidRDefault="3E404A87" w:rsidP="4DCF16DC">
            <w:pPr>
              <w:spacing w:after="0" w:line="240" w:lineRule="auto"/>
              <w:rPr>
                <w:rFonts w:eastAsiaTheme="minorEastAsia"/>
                <w:sz w:val="18"/>
                <w:szCs w:val="18"/>
                <w:lang w:eastAsia="hr-HR"/>
              </w:rPr>
            </w:pPr>
            <w:r w:rsidRPr="4DCF16DC">
              <w:rPr>
                <w:rFonts w:eastAsiaTheme="minorEastAsia"/>
                <w:sz w:val="18"/>
                <w:szCs w:val="18"/>
                <w:lang w:eastAsia="hr-HR"/>
              </w:rPr>
              <w:t>Tjelesna pismenost</w:t>
            </w:r>
          </w:p>
        </w:tc>
      </w:tr>
      <w:tr w:rsidR="5AB0C6CE" w14:paraId="1A1AE165" w14:textId="77777777" w:rsidTr="4DCF16DC">
        <w:trPr>
          <w:trHeight w:val="300"/>
        </w:trPr>
        <w:tc>
          <w:tcPr>
            <w:tcW w:w="2837" w:type="dxa"/>
          </w:tcPr>
          <w:p w14:paraId="56AB86D0"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714BE77D" w14:textId="6647C08E" w:rsidR="5AB0C6CE" w:rsidRDefault="76F5EA06" w:rsidP="4DCF16DC">
            <w:pPr>
              <w:spacing w:after="0" w:line="240" w:lineRule="auto"/>
              <w:rPr>
                <w:rFonts w:eastAsiaTheme="minorEastAsia"/>
                <w:sz w:val="18"/>
                <w:szCs w:val="18"/>
                <w:lang w:eastAsia="hr-HR"/>
              </w:rPr>
            </w:pPr>
            <w:r w:rsidRPr="4DCF16DC">
              <w:rPr>
                <w:rFonts w:eastAsiaTheme="minorEastAsia"/>
                <w:sz w:val="18"/>
                <w:szCs w:val="18"/>
                <w:lang w:eastAsia="hr-HR"/>
              </w:rPr>
              <w:t>Ana Đerek</w:t>
            </w:r>
          </w:p>
        </w:tc>
      </w:tr>
      <w:tr w:rsidR="5AB0C6CE" w14:paraId="7C5CE27A" w14:textId="77777777" w:rsidTr="4DCF16DC">
        <w:trPr>
          <w:trHeight w:val="300"/>
        </w:trPr>
        <w:tc>
          <w:tcPr>
            <w:tcW w:w="2837" w:type="dxa"/>
          </w:tcPr>
          <w:p w14:paraId="68CFB203"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34974FCA"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41932705"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72C5E46C"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17D27647"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2D626B84" w14:textId="6A7F5CC4" w:rsidR="5AB0C6CE" w:rsidRDefault="7BF9DC40"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2</w:t>
            </w:r>
          </w:p>
        </w:tc>
      </w:tr>
      <w:tr w:rsidR="5AB0C6CE" w14:paraId="1ADB1674" w14:textId="77777777" w:rsidTr="4DCF16DC">
        <w:trPr>
          <w:trHeight w:val="300"/>
        </w:trPr>
        <w:tc>
          <w:tcPr>
            <w:tcW w:w="2837" w:type="dxa"/>
          </w:tcPr>
          <w:p w14:paraId="565E466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38D1DD51"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FAE8CFB" w14:textId="07B0572D" w:rsidR="5AB0C6CE" w:rsidRDefault="04350832" w:rsidP="4DCF16DC">
            <w:pPr>
              <w:spacing w:after="0" w:line="240" w:lineRule="auto"/>
              <w:rPr>
                <w:rFonts w:eastAsiaTheme="minorEastAsia"/>
                <w:sz w:val="18"/>
                <w:szCs w:val="18"/>
                <w:lang w:eastAsia="hr-HR"/>
              </w:rPr>
            </w:pPr>
            <w:r w:rsidRPr="4DCF16DC">
              <w:rPr>
                <w:rFonts w:eastAsiaTheme="minorEastAsia"/>
                <w:b/>
                <w:bCs/>
                <w:sz w:val="18"/>
                <w:szCs w:val="18"/>
                <w:lang w:val="en-US" w:eastAsia="hr-HR"/>
              </w:rPr>
              <w:t xml:space="preserve">Background </w:t>
            </w:r>
            <w:r w:rsidRPr="4DCF16DC">
              <w:rPr>
                <w:rFonts w:eastAsiaTheme="minorEastAsia"/>
                <w:sz w:val="18"/>
                <w:szCs w:val="18"/>
                <w:lang w:val="en-US" w:eastAsia="hr-HR"/>
              </w:rPr>
              <w:t>Schools are a key setting for promoting children’s physical literacy development. This review aimed to</w:t>
            </w:r>
            <w:r w:rsidR="2DD5FBC1" w:rsidRPr="4DCF16DC">
              <w:rPr>
                <w:rFonts w:eastAsiaTheme="minorEastAsia"/>
                <w:sz w:val="18"/>
                <w:szCs w:val="18"/>
                <w:lang w:val="en-US" w:eastAsia="hr-HR"/>
              </w:rPr>
              <w:t xml:space="preserve"> </w:t>
            </w:r>
            <w:r w:rsidRPr="4DCF16DC">
              <w:rPr>
                <w:rFonts w:eastAsiaTheme="minorEastAsia"/>
                <w:sz w:val="18"/>
                <w:szCs w:val="18"/>
                <w:lang w:val="en-US" w:eastAsia="hr-HR"/>
              </w:rPr>
              <w:t>identify school-based interventions that adopted a holistic conceptualisation of physical literacy and examine the</w:t>
            </w:r>
            <w:r w:rsidR="3CB63358" w:rsidRPr="4DCF16DC">
              <w:rPr>
                <w:rFonts w:eastAsiaTheme="minorEastAsia"/>
                <w:sz w:val="18"/>
                <w:szCs w:val="18"/>
                <w:lang w:val="en-US" w:eastAsia="hr-HR"/>
              </w:rPr>
              <w:t xml:space="preserve"> </w:t>
            </w:r>
            <w:r w:rsidRPr="4DCF16DC">
              <w:rPr>
                <w:rFonts w:eastAsiaTheme="minorEastAsia"/>
                <w:sz w:val="18"/>
                <w:szCs w:val="18"/>
                <w:lang w:eastAsia="hr-HR"/>
              </w:rPr>
              <w:t>effects on children’s physical literacy and any other outcomes, including physical activity (PA).</w:t>
            </w:r>
          </w:p>
          <w:p w14:paraId="77363EBB" w14:textId="744A1CE5" w:rsidR="5AB0C6CE" w:rsidRDefault="04350832" w:rsidP="4DCF16DC">
            <w:pPr>
              <w:spacing w:after="0" w:line="240" w:lineRule="auto"/>
              <w:rPr>
                <w:rFonts w:eastAsiaTheme="minorEastAsia"/>
                <w:noProof/>
                <w:sz w:val="18"/>
                <w:szCs w:val="18"/>
                <w:lang w:val="en-US" w:eastAsia="hr-HR"/>
              </w:rPr>
            </w:pPr>
            <w:r w:rsidRPr="4DCF16DC">
              <w:rPr>
                <w:rFonts w:eastAsiaTheme="minorEastAsia"/>
                <w:b/>
                <w:bCs/>
                <w:sz w:val="18"/>
                <w:szCs w:val="18"/>
                <w:lang w:val="en-US" w:eastAsia="hr-HR"/>
              </w:rPr>
              <w:t xml:space="preserve">Methods </w:t>
            </w:r>
            <w:r w:rsidRPr="4DCF16DC">
              <w:rPr>
                <w:rFonts w:eastAsiaTheme="minorEastAsia"/>
                <w:sz w:val="18"/>
                <w:szCs w:val="18"/>
                <w:lang w:val="en-US" w:eastAsia="hr-HR"/>
              </w:rPr>
              <w:t>Searches were conducted in seven databases (APA PsycINFO, EMBASE, ERIC, CINAHL, Global Health,</w:t>
            </w:r>
            <w:r w:rsidR="097CE2CA" w:rsidRPr="4DCF16DC">
              <w:rPr>
                <w:rFonts w:eastAsiaTheme="minorEastAsia"/>
                <w:sz w:val="18"/>
                <w:szCs w:val="18"/>
                <w:lang w:val="en-US" w:eastAsia="hr-HR"/>
              </w:rPr>
              <w:t xml:space="preserve"> </w:t>
            </w:r>
            <w:r w:rsidRPr="4DCF16DC">
              <w:rPr>
                <w:rFonts w:eastAsiaTheme="minorEastAsia"/>
                <w:sz w:val="18"/>
                <w:szCs w:val="18"/>
                <w:lang w:val="en-US" w:eastAsia="hr-HR"/>
              </w:rPr>
              <w:t xml:space="preserve">MEDLINE Complete, SPORTDiscus with Full Text), and Google and Google Scholar, to identify articles </w:t>
            </w:r>
            <w:r w:rsidRPr="4DCF16DC">
              <w:rPr>
                <w:rFonts w:eastAsiaTheme="minorEastAsia"/>
                <w:noProof/>
                <w:sz w:val="18"/>
                <w:szCs w:val="18"/>
                <w:lang w:val="en-US" w:eastAsia="hr-HR"/>
              </w:rPr>
              <w:t>published since</w:t>
            </w:r>
            <w:r w:rsidR="7A2ED427"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1/1/2017. Studies were included if they (i) adopted a</w:t>
            </w:r>
            <w:r w:rsidR="213A570E"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holistic conception of physical literacy as represented by the</w:t>
            </w:r>
            <w:r w:rsidR="2A59D5A8"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Australian Physical Literacy Framework (APLF), (ii) were grounded in movement, (iii) assessed three or more domains</w:t>
            </w:r>
            <w:r w:rsidR="233790D3"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of learning (either quantitatively or qualitatively), and (iv) included children aged 5–14 years. Quantitative research</w:t>
            </w:r>
            <w:r w:rsidR="04BDC2DC"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designs needed to provide pre-and post-intervention measures, whereas qualitative designs (e.g. post-intervention</w:t>
            </w:r>
            <w:r w:rsidR="04A9D5EC"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interviews) did not. Study selection, data extraction and quality assessment were conducted independently by</w:t>
            </w:r>
            <w:r w:rsidR="0438A691"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teams of two authors. For intervention effects,</w:t>
            </w:r>
            <w:r w:rsidR="7EED17F0"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quantitative and qualitative data were synthesised separately. For</w:t>
            </w:r>
            <w:r w:rsidR="48F90660"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quantitative data, level of evidence for intervention effects was assessed by physical literacy domain and/or elements/items by examining the</w:t>
            </w:r>
            <w:r w:rsidR="787BA4F4"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proportion of tests with a significant change in the expected direction. Qualitative data</w:t>
            </w:r>
            <w:r w:rsidR="75841459"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were synthesised using the framework synthesis method and mapped to a framework that included APLF domains/elements, PA, and additional outcomes.</w:t>
            </w:r>
          </w:p>
          <w:p w14:paraId="2BADF167" w14:textId="3DCCC2FD" w:rsidR="5AB0C6CE" w:rsidRDefault="04350832" w:rsidP="4DCF16DC">
            <w:pPr>
              <w:spacing w:after="0" w:line="240" w:lineRule="auto"/>
              <w:rPr>
                <w:rFonts w:eastAsiaTheme="minorEastAsia"/>
                <w:sz w:val="18"/>
                <w:szCs w:val="18"/>
                <w:lang w:val="en-US" w:eastAsia="hr-HR"/>
              </w:rPr>
            </w:pPr>
            <w:r w:rsidRPr="4DCF16DC">
              <w:rPr>
                <w:rFonts w:eastAsiaTheme="minorEastAsia"/>
                <w:b/>
                <w:bCs/>
                <w:noProof/>
                <w:sz w:val="18"/>
                <w:szCs w:val="18"/>
                <w:lang w:val="en-US" w:eastAsia="hr-HR"/>
              </w:rPr>
              <w:t xml:space="preserve">Results </w:t>
            </w:r>
            <w:r w:rsidRPr="4DCF16DC">
              <w:rPr>
                <w:rFonts w:eastAsiaTheme="minorEastAsia"/>
                <w:noProof/>
                <w:sz w:val="18"/>
                <w:szCs w:val="18"/>
                <w:lang w:val="en-US" w:eastAsia="hr-HR"/>
              </w:rPr>
              <w:t>Twelve interventions with 1,427 participants from seven countries were identified: six physical educationbased,</w:t>
            </w:r>
            <w:r w:rsidR="76C8DB54"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three afterschool, one structured recess, and two multicomponent. All studies assessed the physical domain</w:t>
            </w:r>
            <w:r w:rsidR="529434CA"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quantitatively, with strong positive evidence of intervention effects for the controlled designs (10 of 15 tests). For the</w:t>
            </w:r>
            <w:r w:rsidR="25DE1F6B"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affective and cognitive domains, evidence was mixed, and there was no evidence for interventions improving the</w:t>
            </w:r>
            <w:r w:rsidR="67D6DC68" w:rsidRPr="4DCF16DC">
              <w:rPr>
                <w:rFonts w:eastAsiaTheme="minorEastAsia"/>
                <w:noProof/>
                <w:sz w:val="18"/>
                <w:szCs w:val="18"/>
                <w:lang w:val="en-US" w:eastAsia="hr-HR"/>
              </w:rPr>
              <w:t xml:space="preserve"> </w:t>
            </w:r>
            <w:r w:rsidRPr="4DCF16DC">
              <w:rPr>
                <w:rFonts w:eastAsiaTheme="minorEastAsia"/>
                <w:noProof/>
                <w:sz w:val="18"/>
                <w:szCs w:val="18"/>
                <w:lang w:val="en-US" w:eastAsia="hr-HR"/>
              </w:rPr>
              <w:t>social components of children’s physical literacy (although this was understudied). Most studies assessed PA and one</w:t>
            </w:r>
            <w:r w:rsidR="7F5A6353" w:rsidRPr="4DCF16DC">
              <w:rPr>
                <w:rFonts w:eastAsiaTheme="minorEastAsia"/>
                <w:noProof/>
                <w:sz w:val="18"/>
                <w:szCs w:val="18"/>
                <w:lang w:val="en-US" w:eastAsia="hr-HR"/>
              </w:rPr>
              <w:t xml:space="preserve"> </w:t>
            </w:r>
            <w:r w:rsidRPr="4DCF16DC">
              <w:rPr>
                <w:rFonts w:eastAsiaTheme="minorEastAsia"/>
                <w:sz w:val="18"/>
                <w:szCs w:val="18"/>
                <w:lang w:val="en-US" w:eastAsia="hr-HR"/>
              </w:rPr>
              <w:t xml:space="preserve">measured cognitive performance; however, there was no evidence for positive intervention effects (i.e. ≥35% of tests reporting an improvement) for either outcome. Five studies assessed intervention effects qualitatively, with positive </w:t>
            </w:r>
            <w:bookmarkStart w:id="3" w:name="_Int_IT0AP2AJ"/>
            <w:r w:rsidRPr="4DCF16DC">
              <w:rPr>
                <w:rFonts w:eastAsiaTheme="minorEastAsia"/>
                <w:sz w:val="18"/>
                <w:szCs w:val="18"/>
                <w:lang w:val="en-US" w:eastAsia="hr-HR"/>
              </w:rPr>
              <w:t>results</w:t>
            </w:r>
            <w:bookmarkEnd w:id="3"/>
            <w:r w:rsidRPr="4DCF16DC">
              <w:rPr>
                <w:rFonts w:eastAsiaTheme="minorEastAsia"/>
                <w:sz w:val="18"/>
                <w:szCs w:val="18"/>
                <w:lang w:val="en-US" w:eastAsia="hr-HR"/>
              </w:rPr>
              <w:t xml:space="preserve"> reported for all physical literacy domains, PA, and cognitive performance.</w:t>
            </w:r>
          </w:p>
          <w:p w14:paraId="421132CB" w14:textId="514CFD6F" w:rsidR="5AB0C6CE" w:rsidRDefault="04350832" w:rsidP="4DCF16DC">
            <w:pPr>
              <w:spacing w:after="0" w:line="240" w:lineRule="auto"/>
              <w:rPr>
                <w:rFonts w:eastAsiaTheme="minorEastAsia"/>
                <w:sz w:val="18"/>
                <w:szCs w:val="18"/>
                <w:lang w:val="en-US" w:eastAsia="hr-HR"/>
              </w:rPr>
            </w:pPr>
            <w:r w:rsidRPr="4DCF16DC">
              <w:rPr>
                <w:rFonts w:eastAsiaTheme="minorEastAsia"/>
                <w:b/>
                <w:bCs/>
                <w:sz w:val="18"/>
                <w:szCs w:val="18"/>
                <w:lang w:val="en-US" w:eastAsia="hr-HR"/>
              </w:rPr>
              <w:t xml:space="preserve">Conclusions </w:t>
            </w:r>
            <w:r w:rsidRPr="4DCF16DC">
              <w:rPr>
                <w:rFonts w:eastAsiaTheme="minorEastAsia"/>
                <w:sz w:val="18"/>
                <w:szCs w:val="18"/>
                <w:lang w:val="en-US" w:eastAsia="hr-HR"/>
              </w:rPr>
              <w:t>Holistic interventions in schools can improve the physical domain of children’s physical literacy. For wider benefits, future interventions should aim to develop all facets of physical literacy, especially domains of learning less frequently targeted and examined.</w:t>
            </w:r>
          </w:p>
        </w:tc>
      </w:tr>
      <w:tr w:rsidR="5AB0C6CE" w14:paraId="1E1BA831" w14:textId="77777777" w:rsidTr="4DCF16DC">
        <w:trPr>
          <w:trHeight w:val="300"/>
        </w:trPr>
        <w:tc>
          <w:tcPr>
            <w:tcW w:w="2837" w:type="dxa"/>
          </w:tcPr>
          <w:p w14:paraId="55A8341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2964B721" w14:textId="17357874" w:rsidR="5AB0C6CE" w:rsidRDefault="2782F6A0" w:rsidP="4DCF16DC">
            <w:pPr>
              <w:spacing w:after="0" w:line="240" w:lineRule="auto"/>
              <w:rPr>
                <w:rFonts w:eastAsiaTheme="minorEastAsia"/>
                <w:sz w:val="18"/>
                <w:szCs w:val="18"/>
                <w:lang w:eastAsia="hr-HR"/>
              </w:rPr>
            </w:pPr>
            <w:r w:rsidRPr="4DCF16DC">
              <w:rPr>
                <w:rFonts w:eastAsiaTheme="minorEastAsia"/>
                <w:sz w:val="18"/>
                <w:szCs w:val="18"/>
                <w:lang w:eastAsia="hr-HR"/>
              </w:rPr>
              <w:t>Dijete, adolescenti, tjelesna i zdravstvena kultura, motoričke vještine</w:t>
            </w:r>
          </w:p>
        </w:tc>
      </w:tr>
      <w:tr w:rsidR="5AB0C6CE" w14:paraId="4D64E753" w14:textId="77777777" w:rsidTr="4DCF16DC">
        <w:trPr>
          <w:trHeight w:val="300"/>
        </w:trPr>
        <w:tc>
          <w:tcPr>
            <w:tcW w:w="2837" w:type="dxa"/>
          </w:tcPr>
          <w:p w14:paraId="3FA4A56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5B917AF4" w14:textId="1FF7496D" w:rsidR="5AB0C6CE" w:rsidRDefault="2FA58CC2" w:rsidP="4DCF16DC">
            <w:pPr>
              <w:spacing w:after="0" w:line="240" w:lineRule="auto"/>
              <w:rPr>
                <w:rFonts w:eastAsiaTheme="minorEastAsia"/>
                <w:sz w:val="18"/>
                <w:szCs w:val="18"/>
                <w:lang w:val="hr"/>
              </w:rPr>
            </w:pPr>
            <w:r w:rsidRPr="4DCF16DC">
              <w:rPr>
                <w:rFonts w:eastAsiaTheme="minorEastAsia"/>
                <w:sz w:val="18"/>
                <w:szCs w:val="18"/>
                <w:lang w:val="hr"/>
              </w:rPr>
              <w:t>Ovaj pregledni rad ispitao je učinke holistički konceptualiziranih školskih intervencija na (i) tjelesnu pismenost djece u tjelesnim, afektivnim, kognitivnim i socijalnim područjima učenja i (ii) sve ostale ishode.</w:t>
            </w:r>
            <w:r w:rsidR="664E86B7" w:rsidRPr="4DCF16DC">
              <w:rPr>
                <w:rFonts w:eastAsiaTheme="minorEastAsia"/>
                <w:sz w:val="18"/>
                <w:szCs w:val="18"/>
                <w:lang w:val="hr"/>
              </w:rPr>
              <w:t xml:space="preserve"> Uključeno je ukupno 12 istraživanja koji su zadovoljili kriterije.</w:t>
            </w:r>
          </w:p>
        </w:tc>
      </w:tr>
      <w:tr w:rsidR="5AB0C6CE" w14:paraId="4A70BB1B" w14:textId="77777777" w:rsidTr="4DCF16DC">
        <w:trPr>
          <w:trHeight w:val="300"/>
        </w:trPr>
        <w:tc>
          <w:tcPr>
            <w:tcW w:w="2837" w:type="dxa"/>
          </w:tcPr>
          <w:p w14:paraId="141AE8F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33D3BD2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7C8314C1" w14:textId="1542C3FF" w:rsidR="5AB0C6CE" w:rsidRDefault="019CF773" w:rsidP="4DCF16DC">
            <w:pPr>
              <w:pStyle w:val="Odlomakpopisa"/>
              <w:numPr>
                <w:ilvl w:val="0"/>
                <w:numId w:val="1"/>
              </w:numPr>
              <w:spacing w:after="0" w:line="240" w:lineRule="auto"/>
              <w:rPr>
                <w:rFonts w:eastAsiaTheme="minorEastAsia"/>
                <w:sz w:val="18"/>
                <w:szCs w:val="18"/>
              </w:rPr>
            </w:pPr>
            <w:r w:rsidRPr="4DCF16DC">
              <w:rPr>
                <w:rFonts w:eastAsiaTheme="minorEastAsia"/>
                <w:sz w:val="18"/>
                <w:szCs w:val="18"/>
                <w:lang w:val="hr"/>
              </w:rPr>
              <w:t>Postojali su snažni pozitivni dokazi o poboljšanjima u tjelesnom području. Postojali su mješoviti dokazi za holističke intervencije tjelesne pismenosti koje poboljšavaju ukupnu tjelesnu pismenost ili afektivne i kognitivne domene tjelesne pismenosti.</w:t>
            </w:r>
          </w:p>
          <w:p w14:paraId="031CC71F" w14:textId="55B38088" w:rsidR="5AB0C6CE" w:rsidRDefault="019CF773" w:rsidP="4DCF16DC">
            <w:pPr>
              <w:pStyle w:val="Odlomakpopisa"/>
              <w:numPr>
                <w:ilvl w:val="0"/>
                <w:numId w:val="1"/>
              </w:numPr>
              <w:spacing w:after="0" w:line="240" w:lineRule="auto"/>
              <w:rPr>
                <w:rFonts w:eastAsiaTheme="minorEastAsia"/>
                <w:sz w:val="18"/>
                <w:szCs w:val="18"/>
              </w:rPr>
            </w:pPr>
            <w:r w:rsidRPr="4DCF16DC">
              <w:rPr>
                <w:rFonts w:eastAsiaTheme="minorEastAsia"/>
                <w:sz w:val="18"/>
                <w:szCs w:val="18"/>
                <w:lang w:val="hr"/>
              </w:rPr>
              <w:t xml:space="preserve"> Nije bilo dokaza da holističke intervencije tjelesne pismenosti poboljšavaju društvene komponente dječje tjelesne pismenosti ili druge ishode poput tjelesne aktivnosti ili kognitivnih performansi, iako kvalitativni nalazi izvijestili su o koristima u svim područjima i za tjelesnu aktivnost.</w:t>
            </w:r>
          </w:p>
          <w:p w14:paraId="55D4B71F" w14:textId="1CAB7B17" w:rsidR="5AB0C6CE" w:rsidRDefault="601949A3" w:rsidP="4DCF16DC">
            <w:pPr>
              <w:pStyle w:val="Odlomakpopisa"/>
              <w:numPr>
                <w:ilvl w:val="0"/>
                <w:numId w:val="1"/>
              </w:numPr>
              <w:spacing w:after="0" w:line="240" w:lineRule="auto"/>
              <w:rPr>
                <w:rFonts w:eastAsiaTheme="minorEastAsia"/>
                <w:sz w:val="18"/>
                <w:szCs w:val="18"/>
                <w:lang w:val="hr"/>
              </w:rPr>
            </w:pPr>
            <w:r w:rsidRPr="4DCF16DC">
              <w:rPr>
                <w:rFonts w:eastAsiaTheme="minorEastAsia"/>
                <w:sz w:val="18"/>
                <w:szCs w:val="18"/>
                <w:lang w:val="hr"/>
              </w:rPr>
              <w:t>U budućnosti će biti važno moći odrediti karakteristike intervencije koje vode do učinkovitosti, kao što su učinkovita doza (duljina, učestalost, trajanje). To je posebno važno s obzirom na složenost školskog sustava, višestruka okruženja unutar škola i mnoge međusobno povezane razine utjecaja u tim okruženjima.</w:t>
            </w:r>
          </w:p>
          <w:p w14:paraId="5238A9A4" w14:textId="6D5A83E5" w:rsidR="5AB0C6CE" w:rsidRDefault="298FF074" w:rsidP="4DCF16DC">
            <w:pPr>
              <w:pStyle w:val="Odlomakpopisa"/>
              <w:numPr>
                <w:ilvl w:val="0"/>
                <w:numId w:val="1"/>
              </w:numPr>
              <w:spacing w:after="0" w:line="240" w:lineRule="auto"/>
              <w:rPr>
                <w:rFonts w:eastAsiaTheme="minorEastAsia"/>
                <w:sz w:val="18"/>
                <w:szCs w:val="18"/>
                <w:lang w:val="hr"/>
              </w:rPr>
            </w:pPr>
            <w:r w:rsidRPr="4DCF16DC">
              <w:rPr>
                <w:rFonts w:eastAsiaTheme="minorEastAsia"/>
                <w:sz w:val="18"/>
                <w:szCs w:val="18"/>
                <w:lang w:val="hr"/>
              </w:rPr>
              <w:t>Većina studija provedena je s djecom osnovnoškolske dobi, a samo su dvije bile usmjerene na djecu niže/srednješkolske dobi, što sugerira da su intervencije tjelesne pismenosti potrebne za djecu starijih dobnih skupina.</w:t>
            </w:r>
          </w:p>
          <w:p w14:paraId="3FA9623D" w14:textId="3AC771A6" w:rsidR="5AB0C6CE" w:rsidRDefault="279751BD" w:rsidP="4DCF16DC">
            <w:pPr>
              <w:pStyle w:val="Odlomakpopisa"/>
              <w:numPr>
                <w:ilvl w:val="0"/>
                <w:numId w:val="1"/>
              </w:numPr>
              <w:spacing w:after="0" w:line="240" w:lineRule="auto"/>
              <w:rPr>
                <w:rFonts w:eastAsiaTheme="minorEastAsia"/>
                <w:sz w:val="18"/>
                <w:szCs w:val="18"/>
                <w:lang w:val="hr"/>
              </w:rPr>
            </w:pPr>
            <w:r w:rsidRPr="4DCF16DC">
              <w:rPr>
                <w:rFonts w:eastAsiaTheme="minorEastAsia"/>
                <w:sz w:val="18"/>
                <w:szCs w:val="18"/>
                <w:lang w:val="hr"/>
              </w:rPr>
              <w:t>Važna stavka bilo koje buduće intervencije tjelesne pismenosti u školskom okruženju bilo bi angažiranje i usavršavanje škola i</w:t>
            </w:r>
            <w:r w:rsidR="6FEF15B7">
              <w:br/>
            </w:r>
            <w:r w:rsidRPr="4DCF16DC">
              <w:rPr>
                <w:rFonts w:eastAsiaTheme="minorEastAsia"/>
                <w:sz w:val="18"/>
                <w:szCs w:val="18"/>
                <w:lang w:val="hr"/>
              </w:rPr>
              <w:t>učitelja oko toga što je tjelesna pismenost i važnosti tjelesne pismenosti unutar školskog/sportskog okruženja</w:t>
            </w:r>
          </w:p>
        </w:tc>
      </w:tr>
      <w:tr w:rsidR="5AB0C6CE" w14:paraId="528568B4" w14:textId="77777777" w:rsidTr="4DCF16DC">
        <w:trPr>
          <w:trHeight w:val="300"/>
        </w:trPr>
        <w:tc>
          <w:tcPr>
            <w:tcW w:w="2837" w:type="dxa"/>
          </w:tcPr>
          <w:p w14:paraId="3199766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251D7E37"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2A29079A" w14:textId="1E207420" w:rsidR="5AB0C6CE" w:rsidRDefault="05926B0F" w:rsidP="4DCF16DC">
            <w:pPr>
              <w:spacing w:after="0" w:line="240" w:lineRule="auto"/>
              <w:rPr>
                <w:rFonts w:eastAsiaTheme="minorEastAsia"/>
                <w:sz w:val="18"/>
                <w:szCs w:val="18"/>
                <w:lang w:eastAsia="hr-HR"/>
              </w:rPr>
            </w:pPr>
            <w:r w:rsidRPr="4DCF16DC">
              <w:rPr>
                <w:rFonts w:eastAsiaTheme="minorEastAsia"/>
                <w:sz w:val="18"/>
                <w:szCs w:val="18"/>
                <w:lang w:eastAsia="hr-HR"/>
              </w:rPr>
              <w:t>Ovaj rad detaljno opisuje 12 intervencija provedenih u školama, a vezane uz poboljšanje TP-a. Svaka od tih intervencija može nam poslužiti za smišljanje naše</w:t>
            </w:r>
            <w:r w:rsidR="20694703" w:rsidRPr="4DCF16DC">
              <w:rPr>
                <w:rFonts w:eastAsiaTheme="minorEastAsia"/>
                <w:sz w:val="18"/>
                <w:szCs w:val="18"/>
                <w:lang w:eastAsia="hr-HR"/>
              </w:rPr>
              <w:t xml:space="preserve">. Intervencije se razlikuju po dobi učenika te po tome jesu li provedene u sklopu nastave TZK, kao izvannastavna aktivnost ili kao aktivna pauza tijekom školskih odmora. </w:t>
            </w:r>
          </w:p>
          <w:p w14:paraId="234F45CB" w14:textId="4C5A1899" w:rsidR="5AB0C6CE" w:rsidRDefault="4926FD17"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Kvalitativni nalazi u određenim istraživanjima pokazali su se važnima jer izvještavaju o koristi intervencija u svim područjima TP-a te u povećanju ukupne TA  </w:t>
            </w:r>
            <w:r w:rsidR="26F72F19" w:rsidRPr="4DCF16DC">
              <w:rPr>
                <w:rFonts w:eastAsiaTheme="minorEastAsia"/>
                <w:sz w:val="18"/>
                <w:szCs w:val="18"/>
                <w:lang w:eastAsia="hr-HR"/>
              </w:rPr>
              <w:t xml:space="preserve">što može biti korisno i za našu intervenciju. </w:t>
            </w:r>
          </w:p>
        </w:tc>
      </w:tr>
      <w:tr w:rsidR="5AB0C6CE" w14:paraId="06056FA9" w14:textId="77777777" w:rsidTr="4DCF16DC">
        <w:trPr>
          <w:trHeight w:val="300"/>
        </w:trPr>
        <w:tc>
          <w:tcPr>
            <w:tcW w:w="2837" w:type="dxa"/>
          </w:tcPr>
          <w:p w14:paraId="40C5528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19A1D6A4" w14:textId="77777777" w:rsidR="5AB0C6CE" w:rsidRDefault="5AB0C6CE" w:rsidP="4DCF16DC">
            <w:pPr>
              <w:spacing w:after="0" w:line="240" w:lineRule="auto"/>
              <w:rPr>
                <w:rFonts w:eastAsiaTheme="minorEastAsia"/>
                <w:sz w:val="18"/>
                <w:szCs w:val="18"/>
                <w:lang w:eastAsia="hr-HR"/>
              </w:rPr>
            </w:pPr>
          </w:p>
        </w:tc>
      </w:tr>
    </w:tbl>
    <w:p w14:paraId="23C3ABAF" w14:textId="281EE43A" w:rsidR="5AB0C6CE" w:rsidRDefault="5AB0C6CE"/>
    <w:p w14:paraId="7ED1FA30" w14:textId="4F5C3C88" w:rsidR="5AB0C6CE" w:rsidRDefault="5AB0C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225"/>
      </w:tblGrid>
      <w:tr w:rsidR="5AB0C6CE" w14:paraId="74D31B70" w14:textId="77777777" w:rsidTr="4DCF16DC">
        <w:trPr>
          <w:trHeight w:val="300"/>
        </w:trPr>
        <w:tc>
          <w:tcPr>
            <w:tcW w:w="2837" w:type="dxa"/>
          </w:tcPr>
          <w:p w14:paraId="5EE601B7" w14:textId="0E6DFD41" w:rsidR="5AB0C6CE"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7F32C05E" w:rsidRPr="4DCF16DC">
              <w:rPr>
                <w:rFonts w:eastAsiaTheme="minorEastAsia"/>
                <w:b/>
                <w:bCs/>
                <w:color w:val="000000" w:themeColor="text1"/>
                <w:sz w:val="18"/>
                <w:szCs w:val="18"/>
                <w:lang w:eastAsia="hr-HR"/>
              </w:rPr>
              <w:t> </w:t>
            </w:r>
          </w:p>
        </w:tc>
        <w:tc>
          <w:tcPr>
            <w:tcW w:w="6225" w:type="dxa"/>
          </w:tcPr>
          <w:p w14:paraId="5F142379" w14:textId="676BAB2D" w:rsidR="5AB0C6CE" w:rsidRDefault="01740137" w:rsidP="4DCF16DC">
            <w:pPr>
              <w:spacing w:after="0" w:line="240" w:lineRule="auto"/>
              <w:rPr>
                <w:rFonts w:eastAsiaTheme="minorEastAsia"/>
                <w:sz w:val="18"/>
                <w:szCs w:val="18"/>
                <w:lang w:val="en-US"/>
              </w:rPr>
            </w:pPr>
            <w:r w:rsidRPr="4DCF16DC">
              <w:rPr>
                <w:rFonts w:eastAsiaTheme="minorEastAsia"/>
                <w:sz w:val="18"/>
                <w:szCs w:val="18"/>
                <w:lang w:val="en-US"/>
              </w:rPr>
              <w:t xml:space="preserve">Fairclough, S. J., Clifford, L., Foweather, L., Knowles, Z. R., Boddy, L. M., Ashworth, E., &amp; et al. (2024). Move well, feel good: Feasibility and acceptability of a school-based motor competence intervention to promote positive mental health. </w:t>
            </w:r>
            <w:r w:rsidRPr="4DCF16DC">
              <w:rPr>
                <w:rFonts w:eastAsiaTheme="minorEastAsia"/>
                <w:i/>
                <w:iCs/>
                <w:sz w:val="18"/>
                <w:szCs w:val="18"/>
                <w:lang w:val="en-US"/>
              </w:rPr>
              <w:t>PLoS ONE, 19</w:t>
            </w:r>
            <w:r w:rsidRPr="4DCF16DC">
              <w:rPr>
                <w:rFonts w:eastAsiaTheme="minorEastAsia"/>
                <w:sz w:val="18"/>
                <w:szCs w:val="18"/>
                <w:lang w:val="en-US"/>
              </w:rPr>
              <w:t>(6), e0303033. https://doi.org/10.1371/journal.pone.0303033</w:t>
            </w:r>
          </w:p>
          <w:p w14:paraId="0B1AC80F" w14:textId="564D11F8" w:rsidR="5AB0C6CE" w:rsidRDefault="5AB0C6CE" w:rsidP="4DCF16DC">
            <w:pPr>
              <w:spacing w:after="0" w:line="240" w:lineRule="auto"/>
              <w:rPr>
                <w:rFonts w:eastAsiaTheme="minorEastAsia"/>
                <w:b/>
                <w:bCs/>
                <w:sz w:val="18"/>
                <w:szCs w:val="18"/>
                <w:lang w:eastAsia="hr-HR"/>
              </w:rPr>
            </w:pPr>
          </w:p>
        </w:tc>
      </w:tr>
      <w:tr w:rsidR="5AB0C6CE" w14:paraId="0DF924F4" w14:textId="77777777" w:rsidTr="4DCF16DC">
        <w:trPr>
          <w:trHeight w:val="300"/>
        </w:trPr>
        <w:tc>
          <w:tcPr>
            <w:tcW w:w="2837" w:type="dxa"/>
          </w:tcPr>
          <w:p w14:paraId="0CFE1305"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225" w:type="dxa"/>
          </w:tcPr>
          <w:p w14:paraId="3FBB00D1" w14:textId="10CBD1AF" w:rsidR="4F870B4B" w:rsidRDefault="000D719D" w:rsidP="4DCF16DC">
            <w:pPr>
              <w:spacing w:after="0"/>
              <w:rPr>
                <w:rFonts w:eastAsiaTheme="minorEastAsia"/>
                <w:sz w:val="18"/>
                <w:szCs w:val="18"/>
              </w:rPr>
            </w:pPr>
            <w:hyperlink r:id="rId32">
              <w:r w:rsidR="5AF47463" w:rsidRPr="4DCF16DC">
                <w:rPr>
                  <w:rStyle w:val="Hiperveza"/>
                  <w:rFonts w:eastAsiaTheme="minorEastAsia"/>
                  <w:sz w:val="18"/>
                  <w:szCs w:val="18"/>
                </w:rPr>
                <w:t>https://journals.plos.org/plosone/article?id=10.1371/journal.pone.0303033</w:t>
              </w:r>
            </w:hyperlink>
          </w:p>
        </w:tc>
      </w:tr>
      <w:tr w:rsidR="5AB0C6CE" w14:paraId="160EEE1A" w14:textId="77777777" w:rsidTr="4DCF16DC">
        <w:trPr>
          <w:trHeight w:val="300"/>
        </w:trPr>
        <w:tc>
          <w:tcPr>
            <w:tcW w:w="2837" w:type="dxa"/>
          </w:tcPr>
          <w:p w14:paraId="3070BCF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225" w:type="dxa"/>
          </w:tcPr>
          <w:p w14:paraId="51F356B3" w14:textId="06E8ED9A" w:rsidR="5AB0C6CE" w:rsidRDefault="7917029A" w:rsidP="4DCF16DC">
            <w:pPr>
              <w:spacing w:after="0" w:line="240" w:lineRule="auto"/>
              <w:rPr>
                <w:rFonts w:eastAsiaTheme="minorEastAsia"/>
                <w:sz w:val="18"/>
                <w:szCs w:val="18"/>
              </w:rPr>
            </w:pPr>
            <w:r w:rsidRPr="4DCF16DC">
              <w:rPr>
                <w:rFonts w:eastAsiaTheme="minorEastAsia"/>
                <w:sz w:val="18"/>
                <w:szCs w:val="18"/>
              </w:rPr>
              <w:t>MZ, motoričke kompetencije,  intervencija</w:t>
            </w:r>
          </w:p>
        </w:tc>
      </w:tr>
      <w:tr w:rsidR="5AB0C6CE" w14:paraId="1BA75D75" w14:textId="77777777" w:rsidTr="4DCF16DC">
        <w:trPr>
          <w:trHeight w:val="300"/>
        </w:trPr>
        <w:tc>
          <w:tcPr>
            <w:tcW w:w="2837" w:type="dxa"/>
          </w:tcPr>
          <w:p w14:paraId="42D839AB" w14:textId="77777777" w:rsidR="5AB0C6CE" w:rsidRDefault="70089264"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225" w:type="dxa"/>
          </w:tcPr>
          <w:p w14:paraId="5B224D17" w14:textId="105B6CC9" w:rsidR="5AB0C6CE" w:rsidRDefault="0A98D801" w:rsidP="4DCF16DC">
            <w:pPr>
              <w:spacing w:after="0" w:line="240" w:lineRule="auto"/>
              <w:rPr>
                <w:rFonts w:eastAsiaTheme="minorEastAsia"/>
                <w:sz w:val="18"/>
                <w:szCs w:val="18"/>
                <w:lang w:eastAsia="hr-HR"/>
              </w:rPr>
            </w:pPr>
            <w:r w:rsidRPr="4DCF16DC">
              <w:rPr>
                <w:rFonts w:eastAsiaTheme="minorEastAsia"/>
                <w:sz w:val="18"/>
                <w:szCs w:val="18"/>
                <w:lang w:eastAsia="hr-HR"/>
              </w:rPr>
              <w:t>Sunčica</w:t>
            </w:r>
            <w:r w:rsidR="62E1974E" w:rsidRPr="4DCF16DC">
              <w:rPr>
                <w:rFonts w:eastAsiaTheme="minorEastAsia"/>
                <w:sz w:val="18"/>
                <w:szCs w:val="18"/>
                <w:lang w:eastAsia="hr-HR"/>
              </w:rPr>
              <w:t xml:space="preserve"> Bartoluci</w:t>
            </w:r>
          </w:p>
        </w:tc>
      </w:tr>
      <w:tr w:rsidR="5AB0C6CE" w14:paraId="415481B8" w14:textId="77777777" w:rsidTr="4DCF16DC">
        <w:trPr>
          <w:trHeight w:val="300"/>
        </w:trPr>
        <w:tc>
          <w:tcPr>
            <w:tcW w:w="2837" w:type="dxa"/>
          </w:tcPr>
          <w:p w14:paraId="2CCE468E"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3C10388D"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6FFCE0B9"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06C2778C"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7EB80D01" w14:textId="77777777" w:rsidR="5AB0C6CE" w:rsidRDefault="70089264"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225" w:type="dxa"/>
          </w:tcPr>
          <w:p w14:paraId="7D264F9A" w14:textId="2847A705" w:rsidR="5AB0C6CE" w:rsidRDefault="5FC7DC15"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2C4" w:themeColor="accent1"/>
                <w:sz w:val="18"/>
                <w:szCs w:val="18"/>
                <w:lang w:eastAsia="hr-HR"/>
              </w:rPr>
              <w:t>1</w:t>
            </w:r>
          </w:p>
        </w:tc>
      </w:tr>
      <w:tr w:rsidR="5AB0C6CE" w14:paraId="03576A86" w14:textId="77777777" w:rsidTr="4DCF16DC">
        <w:trPr>
          <w:trHeight w:val="300"/>
        </w:trPr>
        <w:tc>
          <w:tcPr>
            <w:tcW w:w="2837" w:type="dxa"/>
          </w:tcPr>
          <w:p w14:paraId="1C8CA57A"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7B09395C"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51D1A899" w14:textId="66132EF4" w:rsidR="4F870B4B" w:rsidRDefault="5AF47463" w:rsidP="4DCF16DC">
            <w:pPr>
              <w:spacing w:after="0"/>
              <w:rPr>
                <w:rFonts w:eastAsiaTheme="minorEastAsia"/>
                <w:sz w:val="18"/>
                <w:szCs w:val="18"/>
              </w:rPr>
            </w:pPr>
            <w:r w:rsidRPr="4DCF16DC">
              <w:rPr>
                <w:rFonts w:eastAsiaTheme="minorEastAsia"/>
                <w:sz w:val="18"/>
                <w:szCs w:val="18"/>
              </w:rPr>
              <w:t>Background</w:t>
            </w:r>
          </w:p>
          <w:p w14:paraId="636D253C" w14:textId="6E599C80" w:rsidR="4F870B4B" w:rsidRDefault="5AF47463" w:rsidP="4DCF16DC">
            <w:pPr>
              <w:spacing w:after="0"/>
              <w:rPr>
                <w:rFonts w:eastAsiaTheme="minorEastAsia"/>
                <w:sz w:val="18"/>
                <w:szCs w:val="18"/>
              </w:rPr>
            </w:pPr>
            <w:r w:rsidRPr="4DCF16DC">
              <w:rPr>
                <w:rFonts w:eastAsiaTheme="minorEastAsia"/>
                <w:sz w:val="18"/>
                <w:szCs w:val="18"/>
              </w:rPr>
              <w:t>In response to the adverse impacts of the COVID-19 lockdown measures Move Well, Feel Good (MWFG) was developed as a school intervention using improvement of motor competence as a mechanism for promoting positive mental health. Study objectives were to evaluate the feasibility and acceptability of MWFG and to describe changes in child-level outcomes.</w:t>
            </w:r>
          </w:p>
          <w:p w14:paraId="28FCE8D0" w14:textId="5F22B68D"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3E599EAD" w14:textId="62322664" w:rsidR="4F870B4B" w:rsidRDefault="5AF47463" w:rsidP="4DCF16DC">
            <w:pPr>
              <w:spacing w:after="0"/>
              <w:rPr>
                <w:rFonts w:eastAsiaTheme="minorEastAsia"/>
                <w:sz w:val="18"/>
                <w:szCs w:val="18"/>
              </w:rPr>
            </w:pPr>
            <w:r w:rsidRPr="4DCF16DC">
              <w:rPr>
                <w:rFonts w:eastAsiaTheme="minorEastAsia"/>
                <w:sz w:val="18"/>
                <w:szCs w:val="18"/>
              </w:rPr>
              <w:t>Methods</w:t>
            </w:r>
          </w:p>
          <w:p w14:paraId="1DF59A88" w14:textId="4871837B" w:rsidR="4F870B4B" w:rsidRDefault="5AF47463" w:rsidP="4DCF16DC">
            <w:pPr>
              <w:spacing w:after="0"/>
              <w:rPr>
                <w:rFonts w:eastAsiaTheme="minorEastAsia"/>
                <w:sz w:val="18"/>
                <w:szCs w:val="18"/>
                <w:lang w:val="en-US"/>
              </w:rPr>
            </w:pPr>
            <w:r w:rsidRPr="4DCF16DC">
              <w:rPr>
                <w:rFonts w:eastAsiaTheme="minorEastAsia"/>
                <w:sz w:val="18"/>
                <w:szCs w:val="18"/>
                <w:lang w:val="en-US"/>
              </w:rPr>
              <w:t>Five northwest England primary schools were recruited. MWFG was delivered over 10-weeks through physical education (PE) lessons, which were supplemented by optional class-time, break-time, and home activities. The intervention focused on development of 9–10 year-old children’s motor competence in locomotor, object control, and stability skills, and psychosocial skills. Feasibility was evaluated against nine pre-defined criteria using surveys, interviews (teachers), and focus groups (children). Pre- and post-intervention assessments of motor competence, mental health, prosocial behaviour, wellbeing, and 24-hour movement behaviours were also completed.</w:t>
            </w:r>
          </w:p>
          <w:p w14:paraId="2A73CFC0" w14:textId="6AF1D69B"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389A424E" w14:textId="4FD2A755" w:rsidR="4F870B4B" w:rsidRDefault="5AF47463" w:rsidP="4DCF16DC">
            <w:pPr>
              <w:spacing w:after="0"/>
              <w:rPr>
                <w:rFonts w:eastAsiaTheme="minorEastAsia"/>
                <w:sz w:val="18"/>
                <w:szCs w:val="18"/>
              </w:rPr>
            </w:pPr>
            <w:r w:rsidRPr="4DCF16DC">
              <w:rPr>
                <w:rFonts w:eastAsiaTheme="minorEastAsia"/>
                <w:sz w:val="18"/>
                <w:szCs w:val="18"/>
              </w:rPr>
              <w:t>Results</w:t>
            </w:r>
          </w:p>
          <w:p w14:paraId="59329206" w14:textId="1A34AB23" w:rsidR="4F870B4B" w:rsidRDefault="5AF47463" w:rsidP="4DCF16DC">
            <w:pPr>
              <w:spacing w:after="0"/>
              <w:rPr>
                <w:rFonts w:eastAsiaTheme="minorEastAsia"/>
                <w:sz w:val="18"/>
                <w:szCs w:val="18"/>
              </w:rPr>
            </w:pPr>
            <w:r w:rsidRPr="4DCF16DC">
              <w:rPr>
                <w:rFonts w:eastAsiaTheme="minorEastAsia"/>
                <w:sz w:val="18"/>
                <w:szCs w:val="18"/>
              </w:rPr>
              <w:t>The five recruited schools represented 83% of the target number, 108 children consented (54% of target) with teachers recruited in all schools (100% of target). Intervention dose was reflected by 76% of the 45 scheduled PE lessons being delivered, and adherence was strong (&gt;85% of children attending ≥75% of lessons). Positive indicators of acceptability were provided by 86% of children, 83% of PE teachers, and 90% of class teachers. Data collection methods were deemed acceptable by 91% of children and 80% of class teachers, and children spoke positively about participating in the data collection. Child-level outcome data collection was completed by 65%-97% of children, with a 3%-35% attrition rate at post-intervention, depending on measure. Favourable changes in motor competence (+13.7%), mental health difficulties (-8.8%), and prosocial behaviour (+7.6%) were observed.</w:t>
            </w:r>
          </w:p>
          <w:p w14:paraId="48504F4E" w14:textId="72883F67"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2ED417E5" w14:textId="0B2B2E3B" w:rsidR="4F870B4B" w:rsidRDefault="5AF47463" w:rsidP="4DCF16DC">
            <w:pPr>
              <w:spacing w:after="0"/>
              <w:rPr>
                <w:rFonts w:eastAsiaTheme="minorEastAsia"/>
                <w:sz w:val="18"/>
                <w:szCs w:val="18"/>
              </w:rPr>
            </w:pPr>
            <w:r w:rsidRPr="4DCF16DC">
              <w:rPr>
                <w:rFonts w:eastAsiaTheme="minorEastAsia"/>
                <w:sz w:val="18"/>
                <w:szCs w:val="18"/>
              </w:rPr>
              <w:t>Conclusions</w:t>
            </w:r>
          </w:p>
          <w:p w14:paraId="4F77A946" w14:textId="25A3EDE5" w:rsidR="4F870B4B" w:rsidRDefault="5AF47463" w:rsidP="4DCF16DC">
            <w:pPr>
              <w:spacing w:after="0"/>
              <w:rPr>
                <w:rFonts w:eastAsiaTheme="minorEastAsia"/>
                <w:sz w:val="18"/>
                <w:szCs w:val="18"/>
              </w:rPr>
            </w:pPr>
            <w:r w:rsidRPr="4DCF16DC">
              <w:rPr>
                <w:rFonts w:eastAsiaTheme="minorEastAsia"/>
                <w:sz w:val="18"/>
                <w:szCs w:val="18"/>
              </w:rPr>
              <w:t>MWFG is an acceptable and feasible motor competence intervention to promote positive mental health. Content and delivery modifications could inform progression to a pilot trial with a more robust design.</w:t>
            </w:r>
          </w:p>
          <w:p w14:paraId="347BC627" w14:textId="7EA9C0BB" w:rsidR="4F870B4B" w:rsidRDefault="5AF47463" w:rsidP="4DCF16DC">
            <w:pPr>
              <w:spacing w:after="0"/>
              <w:rPr>
                <w:rFonts w:eastAsiaTheme="minorEastAsia"/>
                <w:sz w:val="18"/>
                <w:szCs w:val="18"/>
              </w:rPr>
            </w:pPr>
            <w:r w:rsidRPr="4DCF16DC">
              <w:rPr>
                <w:rFonts w:eastAsiaTheme="minorEastAsia"/>
                <w:sz w:val="18"/>
                <w:szCs w:val="18"/>
              </w:rPr>
              <w:t xml:space="preserve"> </w:t>
            </w:r>
          </w:p>
        </w:tc>
      </w:tr>
      <w:tr w:rsidR="5AB0C6CE" w14:paraId="4164D8D9" w14:textId="77777777" w:rsidTr="4DCF16DC">
        <w:trPr>
          <w:trHeight w:val="300"/>
        </w:trPr>
        <w:tc>
          <w:tcPr>
            <w:tcW w:w="2837" w:type="dxa"/>
          </w:tcPr>
          <w:p w14:paraId="43F8EAF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225" w:type="dxa"/>
          </w:tcPr>
          <w:p w14:paraId="040953D5" w14:textId="4350EA08" w:rsidR="4F870B4B" w:rsidRDefault="5AF47463" w:rsidP="4DCF16DC">
            <w:pPr>
              <w:spacing w:after="0"/>
              <w:rPr>
                <w:rFonts w:eastAsiaTheme="minorEastAsia"/>
                <w:sz w:val="18"/>
                <w:szCs w:val="18"/>
              </w:rPr>
            </w:pPr>
            <w:r w:rsidRPr="4DCF16DC">
              <w:rPr>
                <w:rFonts w:eastAsiaTheme="minorEastAsia"/>
                <w:sz w:val="18"/>
                <w:szCs w:val="18"/>
              </w:rPr>
              <w:t xml:space="preserve"> motor competence; mental health; wellbeing; children; school-based intervention; feasibility study; psychosocial factors; EESH; physical education; COVID-19</w:t>
            </w:r>
          </w:p>
        </w:tc>
      </w:tr>
      <w:tr w:rsidR="5AB0C6CE" w14:paraId="3BE8DA19" w14:textId="77777777" w:rsidTr="4DCF16DC">
        <w:trPr>
          <w:trHeight w:val="300"/>
        </w:trPr>
        <w:tc>
          <w:tcPr>
            <w:tcW w:w="2837" w:type="dxa"/>
          </w:tcPr>
          <w:p w14:paraId="1A0C9ADF"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225" w:type="dxa"/>
          </w:tcPr>
          <w:p w14:paraId="3C5AAC4D" w14:textId="01FBE99B" w:rsidR="4F870B4B" w:rsidRDefault="5AF47463" w:rsidP="4DCF16DC">
            <w:pPr>
              <w:spacing w:after="0"/>
              <w:rPr>
                <w:rFonts w:eastAsiaTheme="minorEastAsia"/>
                <w:sz w:val="18"/>
                <w:szCs w:val="18"/>
              </w:rPr>
            </w:pPr>
            <w:r w:rsidRPr="4DCF16DC">
              <w:rPr>
                <w:rFonts w:eastAsiaTheme="minorEastAsia"/>
                <w:sz w:val="18"/>
                <w:szCs w:val="18"/>
              </w:rPr>
              <w:t xml:space="preserve">Rad prikazuje studiju izvedivosti i prihvatljivosti školske intervencije </w:t>
            </w:r>
            <w:r w:rsidRPr="4DCF16DC">
              <w:rPr>
                <w:rFonts w:eastAsiaTheme="minorEastAsia"/>
                <w:i/>
                <w:iCs/>
                <w:sz w:val="18"/>
                <w:szCs w:val="18"/>
              </w:rPr>
              <w:t>Move Well, Feel Good</w:t>
            </w:r>
            <w:r w:rsidRPr="4DCF16DC">
              <w:rPr>
                <w:rFonts w:eastAsiaTheme="minorEastAsia"/>
                <w:sz w:val="18"/>
                <w:szCs w:val="18"/>
              </w:rPr>
              <w:t>, razvijene kao odgovor na negativne učinke COVID-19 lockdowna na mentalno zdravlje djece. Intervencija se temelji na poboljšanju motoričke kompetencije kao mehanizmu za jačanje mentalnog zdravlja kroz psihosocijalne čimbenike, u skladu s Proširenom hipotezom okolišnog stresa (EESH). Program je proveden kroz nastavu TZK-a tijekom 10 tjedana, uz dodatne aktivnosti u razredu, odmoru i kod kuće.</w:t>
            </w:r>
          </w:p>
        </w:tc>
      </w:tr>
      <w:tr w:rsidR="5AB0C6CE" w14:paraId="735A5A30" w14:textId="77777777" w:rsidTr="4DCF16DC">
        <w:trPr>
          <w:trHeight w:val="300"/>
        </w:trPr>
        <w:tc>
          <w:tcPr>
            <w:tcW w:w="2837" w:type="dxa"/>
          </w:tcPr>
          <w:p w14:paraId="1E2BF7A2"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0FB6850E"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3D85BE7E" w14:textId="7F2D7445" w:rsidR="4F870B4B" w:rsidRDefault="5AF47463" w:rsidP="4DCF16DC">
            <w:pPr>
              <w:spacing w:after="0"/>
              <w:rPr>
                <w:rFonts w:eastAsiaTheme="minorEastAsia"/>
                <w:sz w:val="18"/>
                <w:szCs w:val="18"/>
              </w:rPr>
            </w:pPr>
            <w:r w:rsidRPr="4DCF16DC">
              <w:rPr>
                <w:rFonts w:eastAsiaTheme="minorEastAsia"/>
                <w:sz w:val="18"/>
                <w:szCs w:val="18"/>
              </w:rPr>
              <w:t>Intervencija je izvediva i visoko prihvatljiva za djecu i nastavnike.</w:t>
            </w:r>
          </w:p>
          <w:p w14:paraId="5370B5A4" w14:textId="5B0DA882" w:rsidR="4F870B4B" w:rsidRDefault="5AF47463" w:rsidP="4DCF16DC">
            <w:pPr>
              <w:spacing w:after="0"/>
              <w:rPr>
                <w:rFonts w:eastAsiaTheme="minorEastAsia"/>
                <w:sz w:val="18"/>
                <w:szCs w:val="18"/>
              </w:rPr>
            </w:pPr>
            <w:r w:rsidRPr="4DCF16DC">
              <w:rPr>
                <w:rFonts w:eastAsiaTheme="minorEastAsia"/>
                <w:sz w:val="18"/>
                <w:szCs w:val="18"/>
              </w:rPr>
              <w:t xml:space="preserve">Zabilježena su značajna poboljšanja motoričke kompetencije, smanjenja mentalnozdravstvenih poteškoća; </w:t>
            </w:r>
          </w:p>
          <w:p w14:paraId="476DCC04" w14:textId="118A72E9" w:rsidR="4F870B4B" w:rsidRDefault="5AF47463" w:rsidP="4DCF16DC">
            <w:pPr>
              <w:spacing w:after="0"/>
              <w:rPr>
                <w:rFonts w:eastAsiaTheme="minorEastAsia"/>
                <w:sz w:val="18"/>
                <w:szCs w:val="18"/>
              </w:rPr>
            </w:pPr>
            <w:r w:rsidRPr="4DCF16DC">
              <w:rPr>
                <w:rFonts w:eastAsiaTheme="minorEastAsia"/>
                <w:sz w:val="18"/>
                <w:szCs w:val="18"/>
              </w:rPr>
              <w:t>Prosocijalno ponašanje djece se povećalo.</w:t>
            </w:r>
          </w:p>
          <w:p w14:paraId="6FF02926" w14:textId="3250E071" w:rsidR="4F870B4B" w:rsidRDefault="5AF47463" w:rsidP="4DCF16DC">
            <w:pPr>
              <w:spacing w:after="0"/>
              <w:rPr>
                <w:rFonts w:eastAsiaTheme="minorEastAsia"/>
                <w:sz w:val="18"/>
                <w:szCs w:val="18"/>
              </w:rPr>
            </w:pPr>
            <w:r w:rsidRPr="4DCF16DC">
              <w:rPr>
                <w:rFonts w:eastAsiaTheme="minorEastAsia"/>
                <w:sz w:val="18"/>
                <w:szCs w:val="18"/>
              </w:rPr>
              <w:t xml:space="preserve">Kvalitativni podaci dobiveni metodom fokus grupa, intervjua i opažanja potvrđuju visoku angažiranost djece i pozitivno iskustvo sudjelovanja u intervenciji. </w:t>
            </w:r>
          </w:p>
          <w:p w14:paraId="79696D7A" w14:textId="2D1F705C" w:rsidR="4F870B4B" w:rsidRDefault="5AF47463" w:rsidP="4DCF16DC">
            <w:pPr>
              <w:spacing w:after="0"/>
              <w:rPr>
                <w:rFonts w:eastAsiaTheme="minorEastAsia"/>
                <w:sz w:val="18"/>
                <w:szCs w:val="18"/>
              </w:rPr>
            </w:pPr>
            <w:r w:rsidRPr="4DCF16DC">
              <w:rPr>
                <w:rFonts w:eastAsiaTheme="minorEastAsia"/>
                <w:sz w:val="18"/>
                <w:szCs w:val="18"/>
              </w:rPr>
              <w:t>Škola se pokazala kao prikladno i legitimno okruženje za integrirane intervencije tjelesnog i mentalnog zdravlja</w:t>
            </w:r>
          </w:p>
        </w:tc>
      </w:tr>
      <w:tr w:rsidR="5AB0C6CE" w14:paraId="3D4B6BBB" w14:textId="77777777" w:rsidTr="4DCF16DC">
        <w:trPr>
          <w:trHeight w:val="300"/>
        </w:trPr>
        <w:tc>
          <w:tcPr>
            <w:tcW w:w="2837" w:type="dxa"/>
          </w:tcPr>
          <w:p w14:paraId="7D7ABE63"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198B116D"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225" w:type="dxa"/>
          </w:tcPr>
          <w:p w14:paraId="5313392F" w14:textId="3F02C91E" w:rsidR="4F870B4B" w:rsidRDefault="5AF47463" w:rsidP="4DCF16DC">
            <w:pPr>
              <w:spacing w:after="0"/>
              <w:rPr>
                <w:rFonts w:eastAsiaTheme="minorEastAsia"/>
                <w:sz w:val="18"/>
                <w:szCs w:val="18"/>
              </w:rPr>
            </w:pPr>
            <w:r w:rsidRPr="4DCF16DC">
              <w:rPr>
                <w:rFonts w:eastAsiaTheme="minorEastAsia"/>
                <w:sz w:val="18"/>
                <w:szCs w:val="18"/>
              </w:rPr>
              <w:t>Donosi praktične uvide o izvedivosti školskih intervencija, uključujući izazove (regrutacija, opterećenje škole)</w:t>
            </w:r>
            <w:r w:rsidR="2360DE94" w:rsidRPr="4DCF16DC">
              <w:rPr>
                <w:rFonts w:eastAsiaTheme="minorEastAsia"/>
                <w:sz w:val="18"/>
                <w:szCs w:val="18"/>
              </w:rPr>
              <w:t>.</w:t>
            </w:r>
          </w:p>
          <w:p w14:paraId="304EF58B" w14:textId="3EDB9437" w:rsidR="4F870B4B" w:rsidRDefault="5AF47463" w:rsidP="4DCF16DC">
            <w:pPr>
              <w:spacing w:after="0"/>
              <w:rPr>
                <w:rFonts w:eastAsiaTheme="minorEastAsia"/>
                <w:sz w:val="18"/>
                <w:szCs w:val="18"/>
              </w:rPr>
            </w:pPr>
            <w:r w:rsidRPr="4DCF16DC">
              <w:rPr>
                <w:rFonts w:eastAsiaTheme="minorEastAsia"/>
                <w:sz w:val="18"/>
                <w:szCs w:val="18"/>
              </w:rPr>
              <w:t>Metodološki je vrijedan kao primjer mješovit</w:t>
            </w:r>
            <w:r w:rsidR="1D407CE8" w:rsidRPr="4DCF16DC">
              <w:rPr>
                <w:rFonts w:eastAsiaTheme="minorEastAsia"/>
                <w:sz w:val="18"/>
                <w:szCs w:val="18"/>
              </w:rPr>
              <w:t>ih metoda/dizajna</w:t>
            </w:r>
            <w:r w:rsidRPr="4DCF16DC">
              <w:rPr>
                <w:rFonts w:eastAsiaTheme="minorEastAsia"/>
                <w:sz w:val="18"/>
                <w:szCs w:val="18"/>
              </w:rPr>
              <w:t xml:space="preserve"> (kvantitativni ishodi participativni kvalitativni pristup djeci)</w:t>
            </w:r>
          </w:p>
        </w:tc>
      </w:tr>
      <w:tr w:rsidR="5AB0C6CE" w14:paraId="7A17B2D9" w14:textId="77777777" w:rsidTr="4DCF16DC">
        <w:trPr>
          <w:trHeight w:val="300"/>
        </w:trPr>
        <w:tc>
          <w:tcPr>
            <w:tcW w:w="2837" w:type="dxa"/>
          </w:tcPr>
          <w:p w14:paraId="060845D4" w14:textId="77777777" w:rsidR="5AB0C6CE" w:rsidRDefault="70089264"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225" w:type="dxa"/>
          </w:tcPr>
          <w:p w14:paraId="0858DAA6" w14:textId="77777777" w:rsidR="5AB0C6CE" w:rsidRDefault="5AB0C6CE" w:rsidP="4DCF16DC">
            <w:pPr>
              <w:spacing w:after="0" w:line="240" w:lineRule="auto"/>
              <w:rPr>
                <w:rFonts w:eastAsiaTheme="minorEastAsia"/>
                <w:sz w:val="18"/>
                <w:szCs w:val="18"/>
                <w:lang w:eastAsia="hr-HR"/>
              </w:rPr>
            </w:pPr>
          </w:p>
        </w:tc>
      </w:tr>
    </w:tbl>
    <w:p w14:paraId="52DCA62E" w14:textId="42E6621A" w:rsidR="5AB0C6CE" w:rsidRDefault="5AB0C6CE"/>
    <w:p w14:paraId="095F176C" w14:textId="5A361683" w:rsidR="4F870B4B" w:rsidRDefault="4F870B4B"/>
    <w:tbl>
      <w:tblPr>
        <w:tblW w:w="90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65"/>
        <w:gridCol w:w="6187"/>
      </w:tblGrid>
      <w:tr w:rsidR="4F870B4B" w14:paraId="70349572"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38184B17" w14:textId="7C1FCCD9" w:rsidR="4F870B4B" w:rsidRDefault="33D10D42"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Referenca</w:t>
            </w:r>
            <w:r w:rsidR="0591323F" w:rsidRPr="4DCF16DC">
              <w:rPr>
                <w:rFonts w:ascii="Calibri" w:eastAsia="Calibri" w:hAnsi="Calibri" w:cs="Arial"/>
                <w:b/>
                <w:bCs/>
                <w:color w:val="000000" w:themeColor="text1"/>
                <w:sz w:val="18"/>
                <w:szCs w:val="18"/>
              </w:rPr>
              <w:t> </w:t>
            </w:r>
            <w:r w:rsidR="0591323F"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2851FDCA" w14:textId="378FD935" w:rsidR="4F870B4B" w:rsidRDefault="2429472E" w:rsidP="4DCF16DC">
            <w:r w:rsidRPr="4DCF16DC">
              <w:rPr>
                <w:rFonts w:ascii="Calibri" w:eastAsia="Calibri" w:hAnsi="Calibri" w:cs="Calibri"/>
                <w:sz w:val="18"/>
                <w:szCs w:val="18"/>
                <w:lang w:val="en-US"/>
              </w:rPr>
              <w:t xml:space="preserve">Wynters, R., Liddle, S. K., Swann, C., Schweickle, M. J., &amp; Vella, S. A. (2021). Qualitative evaluation of a sports-based mental health literacy program for adolescent males. </w:t>
            </w:r>
            <w:r w:rsidRPr="4DCF16DC">
              <w:rPr>
                <w:rFonts w:ascii="Calibri" w:eastAsia="Calibri" w:hAnsi="Calibri" w:cs="Calibri"/>
                <w:i/>
                <w:iCs/>
                <w:sz w:val="18"/>
                <w:szCs w:val="18"/>
                <w:lang w:val="en-US"/>
              </w:rPr>
              <w:t>Psychology of Sport and Exercise, 56</w:t>
            </w:r>
            <w:r w:rsidRPr="4DCF16DC">
              <w:rPr>
                <w:rFonts w:ascii="Calibri" w:eastAsia="Calibri" w:hAnsi="Calibri" w:cs="Calibri"/>
                <w:sz w:val="18"/>
                <w:szCs w:val="18"/>
                <w:lang w:val="en-US"/>
              </w:rPr>
              <w:t>, 101989. https://doi.org/10.1016/j.psychsport.2021.101989</w:t>
            </w:r>
          </w:p>
        </w:tc>
      </w:tr>
      <w:tr w:rsidR="4F870B4B" w14:paraId="10725FF2"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37DDFAD4" w14:textId="0FA28933"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Link</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562F939B" w14:textId="6FBA0CD7"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w:t>
            </w:r>
            <w:hyperlink r:id="rId33">
              <w:r w:rsidRPr="4DCF16DC">
                <w:rPr>
                  <w:rStyle w:val="Hiperveza"/>
                  <w:rFonts w:ascii="Calibri" w:eastAsia="Calibri" w:hAnsi="Calibri" w:cs="Arial"/>
                  <w:sz w:val="18"/>
                  <w:szCs w:val="18"/>
                </w:rPr>
                <w:t>https://doi.org/10.1016/j.psychsport.2021.101989</w:t>
              </w:r>
            </w:hyperlink>
          </w:p>
        </w:tc>
      </w:tr>
      <w:tr w:rsidR="4F870B4B" w14:paraId="7F11823E"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3F4A875B" w14:textId="1B7D7BF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Područje-tema</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75E7D9F5" w14:textId="5A7F1F26"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Adolescenti (dječaci); MZP; sport kao okruženje intervencije; kvalitativna evaluacija - fokus grupe.</w:t>
            </w:r>
          </w:p>
        </w:tc>
      </w:tr>
      <w:tr w:rsidR="4F870B4B" w14:paraId="20828EA0"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5A7E4835" w14:textId="08A8ACD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Pripremila/pripremio</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2E5820E3" w14:textId="34B93367"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Sunčica Bartoluci</w:t>
            </w:r>
          </w:p>
        </w:tc>
      </w:tr>
      <w:tr w:rsidR="4F870B4B" w14:paraId="2F8556E0"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6C42D2DE" w14:textId="50143574"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Categorisation</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19480AA2" w14:textId="0CCCADFB"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1 – esencijalan</w:t>
            </w:r>
            <w:r w:rsidRPr="4DCF16DC">
              <w:rPr>
                <w:rFonts w:ascii="Calibri" w:eastAsia="Calibri" w:hAnsi="Calibri" w:cs="Arial"/>
                <w:color w:val="000000" w:themeColor="text1"/>
                <w:sz w:val="18"/>
                <w:szCs w:val="18"/>
              </w:rPr>
              <w:t xml:space="preserve"> </w:t>
            </w:r>
          </w:p>
          <w:p w14:paraId="0A7E5836" w14:textId="096C3D19"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2 – koristan</w:t>
            </w:r>
            <w:r w:rsidRPr="4DCF16DC">
              <w:rPr>
                <w:rFonts w:ascii="Calibri" w:eastAsia="Calibri" w:hAnsi="Calibri" w:cs="Arial"/>
                <w:color w:val="000000" w:themeColor="text1"/>
                <w:sz w:val="18"/>
                <w:szCs w:val="18"/>
              </w:rPr>
              <w:t xml:space="preserve"> </w:t>
            </w:r>
          </w:p>
          <w:p w14:paraId="0A03B1C7" w14:textId="40FF6020"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3 – potencijalno koristan</w:t>
            </w:r>
            <w:r w:rsidRPr="4DCF16DC">
              <w:rPr>
                <w:rFonts w:ascii="Calibri" w:eastAsia="Calibri" w:hAnsi="Calibri" w:cs="Arial"/>
                <w:color w:val="000000" w:themeColor="text1"/>
                <w:sz w:val="18"/>
                <w:szCs w:val="18"/>
              </w:rPr>
              <w:t xml:space="preserve"> </w:t>
            </w:r>
          </w:p>
          <w:p w14:paraId="1E4A0441" w14:textId="091B9050"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4 – ima zanimljiv dio</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277AB13D" w14:textId="680C07E1"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3</w:t>
            </w:r>
          </w:p>
        </w:tc>
      </w:tr>
      <w:tr w:rsidR="4F870B4B" w14:paraId="583C79AE"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71343CC9" w14:textId="1F339AF4"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Sažetak (kopija)</w:t>
            </w:r>
            <w:r w:rsidRPr="4DCF16DC">
              <w:rPr>
                <w:rFonts w:ascii="Calibri" w:eastAsia="Calibri" w:hAnsi="Calibri" w:cs="Arial"/>
                <w:sz w:val="18"/>
                <w:szCs w:val="18"/>
              </w:rPr>
              <w:t xml:space="preserve"> </w:t>
            </w:r>
          </w:p>
          <w:p w14:paraId="39F51561" w14:textId="680E657A"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0B83FA2B" w14:textId="461DC04D"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Objective</w:t>
            </w:r>
          </w:p>
          <w:p w14:paraId="0835A919" w14:textId="783C5E9F" w:rsidR="4F870B4B" w:rsidRDefault="5AF47463" w:rsidP="4DCF16DC">
            <w:pPr>
              <w:rPr>
                <w:rFonts w:ascii="Calibri" w:eastAsia="Calibri" w:hAnsi="Calibri" w:cs="Arial"/>
                <w:sz w:val="18"/>
                <w:szCs w:val="18"/>
              </w:rPr>
            </w:pPr>
            <w:r w:rsidRPr="4DCF16DC">
              <w:rPr>
                <w:rFonts w:ascii="Calibri" w:eastAsia="Calibri" w:hAnsi="Calibri" w:cs="Arial"/>
                <w:sz w:val="18"/>
                <w:szCs w:val="18"/>
              </w:rPr>
              <w:t>This study aimed to understand adolescent males' experience of participating in a sports-based mental health literacy intervention (Help Out a Mate), and provide insight into their perceptions of the effectiveness and implementation of the program.</w:t>
            </w:r>
          </w:p>
          <w:p w14:paraId="427A17E3" w14:textId="748A412B" w:rsidR="4F870B4B" w:rsidRDefault="5AF47463" w:rsidP="4DCF16DC">
            <w:pPr>
              <w:rPr>
                <w:rFonts w:ascii="Calibri" w:eastAsia="Calibri" w:hAnsi="Calibri" w:cs="Arial"/>
                <w:sz w:val="18"/>
                <w:szCs w:val="18"/>
              </w:rPr>
            </w:pPr>
            <w:r w:rsidRPr="4DCF16DC">
              <w:rPr>
                <w:rFonts w:ascii="Calibri" w:eastAsia="Calibri" w:hAnsi="Calibri" w:cs="Arial"/>
                <w:sz w:val="18"/>
                <w:szCs w:val="18"/>
              </w:rPr>
              <w:t>Method</w:t>
            </w:r>
          </w:p>
          <w:p w14:paraId="73EA044F" w14:textId="5383CD42" w:rsidR="4F870B4B" w:rsidRDefault="5AF47463" w:rsidP="4DCF16DC">
            <w:pPr>
              <w:rPr>
                <w:rFonts w:ascii="Calibri" w:eastAsia="Calibri" w:hAnsi="Calibri" w:cs="Arial"/>
                <w:sz w:val="18"/>
                <w:szCs w:val="18"/>
              </w:rPr>
            </w:pPr>
            <w:r w:rsidRPr="4DCF16DC">
              <w:rPr>
                <w:rFonts w:ascii="Calibri" w:eastAsia="Calibri" w:hAnsi="Calibri" w:cs="Arial"/>
                <w:sz w:val="18"/>
                <w:szCs w:val="18"/>
              </w:rPr>
              <w:t>Thirty-three adolescent males (12–15 years old) who had recently participated in Help Out a Mate took part in six focus groups. Inductive thematic analysis was used to analyse focus group data, and a number of strategies were employed to enhance the trustworthiness of this account, including peer debrief, grounding in examples, and prolonged engagement.</w:t>
            </w:r>
          </w:p>
          <w:p w14:paraId="452BFAAD" w14:textId="2A1105D0" w:rsidR="4F870B4B" w:rsidRDefault="5AF47463" w:rsidP="4DCF16DC">
            <w:pPr>
              <w:rPr>
                <w:rFonts w:ascii="Calibri" w:eastAsia="Calibri" w:hAnsi="Calibri" w:cs="Arial"/>
                <w:sz w:val="18"/>
                <w:szCs w:val="18"/>
              </w:rPr>
            </w:pPr>
            <w:r w:rsidRPr="4DCF16DC">
              <w:rPr>
                <w:rFonts w:ascii="Calibri" w:eastAsia="Calibri" w:hAnsi="Calibri" w:cs="Arial"/>
                <w:sz w:val="18"/>
                <w:szCs w:val="18"/>
              </w:rPr>
              <w:t>Results</w:t>
            </w:r>
          </w:p>
          <w:p w14:paraId="05F830D5" w14:textId="52A3C6C6" w:rsidR="4F870B4B" w:rsidRDefault="5AF47463" w:rsidP="4DCF16DC">
            <w:pPr>
              <w:rPr>
                <w:rFonts w:ascii="Calibri" w:eastAsia="Calibri" w:hAnsi="Calibri" w:cs="Arial"/>
                <w:sz w:val="18"/>
                <w:szCs w:val="18"/>
              </w:rPr>
            </w:pPr>
            <w:r w:rsidRPr="4DCF16DC">
              <w:rPr>
                <w:rFonts w:ascii="Calibri" w:eastAsia="Calibri" w:hAnsi="Calibri" w:cs="Arial"/>
                <w:sz w:val="18"/>
                <w:szCs w:val="18"/>
              </w:rPr>
              <w:t>These data indicated that these adolescent males broadly had a positive experience of Help Out a Mate and reported that the program was effective in terms of mental health literacy outcomes including increased knowledge of mental health, and increased confidence and intentions to seek and provide help. Delivering the program in the context of sport was reported as engaging, and preferable to delivery in a school context. Whilst some adolescents reported reductions in stigmatising attitudes following the program, others expressed a maintenance of these attitudes, suggesting addressing stigma remains a challenge for mental health literacy workshops. Further, adolescents reported that the program could be improved by including more practical activities and better group management by facilitators.</w:t>
            </w:r>
          </w:p>
          <w:p w14:paraId="4BF13685" w14:textId="5DF09ADB" w:rsidR="4F870B4B" w:rsidRDefault="5AF47463" w:rsidP="4DCF16DC">
            <w:pPr>
              <w:rPr>
                <w:rFonts w:ascii="Calibri" w:eastAsia="Calibri" w:hAnsi="Calibri" w:cs="Arial"/>
                <w:sz w:val="18"/>
                <w:szCs w:val="18"/>
              </w:rPr>
            </w:pPr>
            <w:r w:rsidRPr="4DCF16DC">
              <w:rPr>
                <w:rFonts w:ascii="Calibri" w:eastAsia="Calibri" w:hAnsi="Calibri" w:cs="Arial"/>
                <w:sz w:val="18"/>
                <w:szCs w:val="18"/>
              </w:rPr>
              <w:t>Conclusions</w:t>
            </w:r>
          </w:p>
          <w:p w14:paraId="4F00261A" w14:textId="5CF6CD08" w:rsidR="4F870B4B" w:rsidRDefault="5AF47463" w:rsidP="4DCF16DC">
            <w:pPr>
              <w:rPr>
                <w:rFonts w:ascii="Calibri" w:eastAsia="Calibri" w:hAnsi="Calibri" w:cs="Arial"/>
                <w:sz w:val="18"/>
                <w:szCs w:val="18"/>
              </w:rPr>
            </w:pPr>
            <w:r w:rsidRPr="4DCF16DC">
              <w:rPr>
                <w:rFonts w:ascii="Calibri" w:eastAsia="Calibri" w:hAnsi="Calibri" w:cs="Arial"/>
                <w:sz w:val="18"/>
                <w:szCs w:val="18"/>
              </w:rPr>
              <w:t>These findings identify important insights into adolescent males' perspectives of the effectiveness and importance of Help Out A Mate as a sports-based mental health literacy intervention, and suggest a number of strategies for improving participation and engagement.</w:t>
            </w:r>
          </w:p>
        </w:tc>
      </w:tr>
      <w:tr w:rsidR="4F870B4B" w14:paraId="585D6960"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699DAD6A" w14:textId="4D2F1670"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Ključne riječi</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110147A1" w14:textId="0DF356A2"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MZP, adolescenti, sportski programi, fokus grupe</w:t>
            </w:r>
          </w:p>
        </w:tc>
      </w:tr>
      <w:tr w:rsidR="4F870B4B" w14:paraId="5B5DF3B6"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734FD279" w14:textId="5F77D064"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Kratki opis</w:t>
            </w:r>
            <w:r w:rsidRPr="4DCF16DC">
              <w:rPr>
                <w:rFonts w:ascii="Calibri" w:eastAsia="Calibri" w:hAnsi="Calibri" w:cs="Arial"/>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60428B95" w14:textId="433089F9" w:rsidR="4F870B4B" w:rsidRDefault="5AF47463" w:rsidP="4DCF16DC">
            <w:pPr>
              <w:rPr>
                <w:rFonts w:ascii="Calibri" w:eastAsia="Calibri" w:hAnsi="Calibri" w:cs="Arial"/>
                <w:sz w:val="18"/>
                <w:szCs w:val="18"/>
              </w:rPr>
            </w:pPr>
            <w:r w:rsidRPr="4DCF16DC">
              <w:rPr>
                <w:rFonts w:ascii="Calibri" w:eastAsia="Calibri" w:hAnsi="Calibri" w:cs="Arial"/>
                <w:sz w:val="18"/>
                <w:szCs w:val="18"/>
              </w:rPr>
              <w:t>Kroz fokus grupe s adolescentima istražuje se doživljaj sudjelovanja u sportski utemeljenom programu MZP i percepcija učinkovitosti/implementacije.</w:t>
            </w:r>
          </w:p>
        </w:tc>
      </w:tr>
      <w:tr w:rsidR="4F870B4B" w14:paraId="3FAA8479"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48A6F850" w14:textId="47FC038A"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Ključni nalazi</w:t>
            </w:r>
            <w:r w:rsidRPr="4DCF16DC">
              <w:rPr>
                <w:rFonts w:ascii="Calibri" w:eastAsia="Calibri" w:hAnsi="Calibri" w:cs="Arial"/>
                <w:color w:val="000000" w:themeColor="text1"/>
                <w:sz w:val="18"/>
                <w:szCs w:val="18"/>
              </w:rPr>
              <w:t xml:space="preserve"> </w:t>
            </w:r>
          </w:p>
          <w:p w14:paraId="0CE22346" w14:textId="5528CFDE"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22D1FF3C" w14:textId="112C733B" w:rsidR="4F870B4B" w:rsidRDefault="5AF47463" w:rsidP="4DCF16DC">
            <w:pPr>
              <w:rPr>
                <w:rFonts w:ascii="Calibri" w:eastAsia="Calibri" w:hAnsi="Calibri" w:cs="Arial"/>
                <w:sz w:val="18"/>
                <w:szCs w:val="18"/>
              </w:rPr>
            </w:pPr>
            <w:r w:rsidRPr="4DCF16DC">
              <w:rPr>
                <w:rFonts w:ascii="Calibri" w:eastAsia="Calibri" w:hAnsi="Calibri" w:cs="Arial"/>
                <w:sz w:val="18"/>
                <w:szCs w:val="18"/>
              </w:rPr>
              <w:t>Učenici daju povratne informacije o tome što im je prihvatljivo, što doživljavaju korisnim i kako optimizirati provedbu programa u realnom okruženju.</w:t>
            </w:r>
          </w:p>
        </w:tc>
      </w:tr>
      <w:tr w:rsidR="4F870B4B" w14:paraId="21F3078A"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3D4C8DFB" w14:textId="1D3065AB"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Kako može koristiti na MentiFit projektu?</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75FC9DA8" w14:textId="7BCC2AE3"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725E877E" w14:textId="76AF2A1E" w:rsidR="4F870B4B" w:rsidRDefault="5AF47463" w:rsidP="4DCF16DC">
            <w:pPr>
              <w:rPr>
                <w:rFonts w:ascii="Calibri" w:eastAsia="Calibri" w:hAnsi="Calibri" w:cs="Arial"/>
                <w:sz w:val="18"/>
                <w:szCs w:val="18"/>
              </w:rPr>
            </w:pPr>
            <w:r w:rsidRPr="4DCF16DC">
              <w:rPr>
                <w:rFonts w:ascii="Calibri" w:eastAsia="Calibri" w:hAnsi="Calibri" w:cs="Arial"/>
                <w:sz w:val="18"/>
                <w:szCs w:val="18"/>
              </w:rPr>
              <w:t>Dizajn sadržaja MZP intervencije (jezik, format, stigma, realne barijere traženju pomoći).</w:t>
            </w:r>
          </w:p>
          <w:p w14:paraId="3CC8A9AA" w14:textId="39B88B19"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Kao model za kvalitativnu evaluaciju nakon intervencije (što je “kliknulo”, što nije, koje su prepreke/facilitatori). </w:t>
            </w:r>
          </w:p>
        </w:tc>
      </w:tr>
      <w:tr w:rsidR="4F870B4B" w14:paraId="6A4164E8" w14:textId="77777777" w:rsidTr="4DCF16DC">
        <w:trPr>
          <w:trHeight w:val="300"/>
        </w:trPr>
        <w:tc>
          <w:tcPr>
            <w:tcW w:w="2865" w:type="dxa"/>
            <w:tcBorders>
              <w:top w:val="single" w:sz="8" w:space="0" w:color="auto"/>
              <w:left w:val="single" w:sz="8" w:space="0" w:color="auto"/>
              <w:bottom w:val="single" w:sz="8" w:space="0" w:color="auto"/>
              <w:right w:val="single" w:sz="8" w:space="0" w:color="auto"/>
            </w:tcBorders>
          </w:tcPr>
          <w:p w14:paraId="5F8AACEB" w14:textId="0F115F44"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Komentar, pitanje… </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187" w:type="dxa"/>
            <w:tcBorders>
              <w:top w:val="single" w:sz="8" w:space="0" w:color="auto"/>
              <w:left w:val="single" w:sz="8" w:space="0" w:color="auto"/>
              <w:bottom w:val="single" w:sz="8" w:space="0" w:color="auto"/>
              <w:right w:val="single" w:sz="8" w:space="0" w:color="auto"/>
            </w:tcBorders>
          </w:tcPr>
          <w:p w14:paraId="1B1A5CB7" w14:textId="57F677CD" w:rsidR="4F870B4B" w:rsidRDefault="5AF47463" w:rsidP="4DCF16DC">
            <w:pPr>
              <w:rPr>
                <w:rFonts w:ascii="Calibri" w:eastAsia="Calibri" w:hAnsi="Calibri" w:cs="Arial"/>
                <w:sz w:val="18"/>
                <w:szCs w:val="18"/>
              </w:rPr>
            </w:pPr>
            <w:r w:rsidRPr="4DCF16DC">
              <w:rPr>
                <w:rFonts w:ascii="Calibri" w:eastAsia="Calibri" w:hAnsi="Calibri" w:cs="Arial"/>
                <w:sz w:val="18"/>
                <w:szCs w:val="18"/>
              </w:rPr>
              <w:t>Bilo bi dobro usporediti ove nalaze s hrvatskim školskim kontekstom (npr. tko treba govoriti o MZ u školi: psiholog, razrednik, nastavnik TZK...).</w:t>
            </w:r>
          </w:p>
        </w:tc>
      </w:tr>
    </w:tbl>
    <w:p w14:paraId="77FE09BA" w14:textId="3876D537" w:rsidR="4F870B4B" w:rsidRDefault="4F870B4B" w:rsidP="4F870B4B">
      <w:pPr>
        <w:rPr>
          <w:rFonts w:ascii="Calibri" w:eastAsia="Calibri" w:hAnsi="Calibri" w:cs="Arial"/>
        </w:rPr>
      </w:pPr>
    </w:p>
    <w:p w14:paraId="50697001" w14:textId="701812BC" w:rsidR="4F870B4B" w:rsidRDefault="4F870B4B" w:rsidP="4F870B4B">
      <w:pPr>
        <w:rPr>
          <w:rFonts w:ascii="Calibri" w:eastAsia="Calibri" w:hAnsi="Calibri" w:cs="Arial"/>
        </w:rPr>
      </w:pPr>
    </w:p>
    <w:tbl>
      <w:tblPr>
        <w:tblW w:w="9091"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18"/>
        <w:gridCol w:w="6773"/>
      </w:tblGrid>
      <w:tr w:rsidR="4F870B4B" w14:paraId="1725C164"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617BE58F" w14:textId="406B2C07" w:rsidR="4F870B4B" w:rsidRDefault="33D10D42"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Referenca</w:t>
            </w:r>
            <w:r w:rsidR="0591323F" w:rsidRPr="4DCF16DC">
              <w:rPr>
                <w:rFonts w:ascii="Calibri" w:eastAsia="Calibri" w:hAnsi="Calibri" w:cs="Arial"/>
                <w:b/>
                <w:bCs/>
                <w:color w:val="000000" w:themeColor="text1"/>
                <w:sz w:val="18"/>
                <w:szCs w:val="18"/>
              </w:rPr>
              <w:t> </w:t>
            </w:r>
            <w:r w:rsidR="0591323F"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1417FE57" w14:textId="09AADE4F" w:rsidR="4F870B4B" w:rsidRDefault="5D176A85" w:rsidP="4DCF16DC">
            <w:r w:rsidRPr="4DCF16DC">
              <w:rPr>
                <w:rFonts w:ascii="Calibri" w:eastAsia="Calibri" w:hAnsi="Calibri" w:cs="Calibri"/>
                <w:sz w:val="18"/>
                <w:szCs w:val="18"/>
                <w:lang w:val="en-US"/>
              </w:rPr>
              <w:t xml:space="preserve">Marinucci, A., Grové, C., &amp; Rozendorn, G. (2022). “It’s something that we all need to know”: Australian youth perspectives of mental health literacy and action in schools. </w:t>
            </w:r>
            <w:r w:rsidRPr="4DCF16DC">
              <w:rPr>
                <w:rFonts w:ascii="Calibri" w:eastAsia="Calibri" w:hAnsi="Calibri" w:cs="Calibri"/>
                <w:i/>
                <w:iCs/>
                <w:sz w:val="18"/>
                <w:szCs w:val="18"/>
                <w:lang w:val="en-US"/>
              </w:rPr>
              <w:t>Frontiers in Education, 7</w:t>
            </w:r>
            <w:r w:rsidRPr="4DCF16DC">
              <w:rPr>
                <w:rFonts w:ascii="Calibri" w:eastAsia="Calibri" w:hAnsi="Calibri" w:cs="Calibri"/>
                <w:sz w:val="18"/>
                <w:szCs w:val="18"/>
                <w:lang w:val="en-US"/>
              </w:rPr>
              <w:t>, Article 829578. https://doi.org/10.3389/feduc.2022.829578</w:t>
            </w:r>
          </w:p>
        </w:tc>
      </w:tr>
      <w:tr w:rsidR="4F870B4B" w14:paraId="2E4A15FF"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06B36F50" w14:textId="1F05F34F"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Link</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516ABFAC" w14:textId="1B057CB8"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w:t>
            </w:r>
            <w:hyperlink r:id="rId34">
              <w:r w:rsidRPr="4DCF16DC">
                <w:rPr>
                  <w:rStyle w:val="Hiperveza"/>
                  <w:rFonts w:ascii="Calibri" w:eastAsia="Calibri" w:hAnsi="Calibri" w:cs="Arial"/>
                  <w:sz w:val="18"/>
                  <w:szCs w:val="18"/>
                </w:rPr>
                <w:t>https://www.frontiersin.org/journals/education/articles/10.3389/feduc.2022.829578/full</w:t>
              </w:r>
            </w:hyperlink>
          </w:p>
        </w:tc>
      </w:tr>
      <w:tr w:rsidR="4F870B4B" w14:paraId="3D097F09"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2F87CFCD" w14:textId="29E8E4FD"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Područje-tema</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677C54DD" w14:textId="393EEE64"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Adolescenti; MZP; kvalitativne metode </w:t>
            </w:r>
          </w:p>
        </w:tc>
      </w:tr>
      <w:tr w:rsidR="4F870B4B" w14:paraId="594C3394"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467F9171" w14:textId="4068975B"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Pripremila/pripremio</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38B82C9D" w14:textId="363C07B6" w:rsidR="4F870B4B" w:rsidRDefault="5AF47463" w:rsidP="4DCF16DC">
            <w:pPr>
              <w:rPr>
                <w:rFonts w:ascii="Calibri" w:eastAsia="Calibri" w:hAnsi="Calibri" w:cs="Arial"/>
                <w:sz w:val="18"/>
                <w:szCs w:val="18"/>
              </w:rPr>
            </w:pPr>
            <w:r w:rsidRPr="4DCF16DC">
              <w:rPr>
                <w:rFonts w:ascii="Calibri" w:eastAsia="Calibri" w:hAnsi="Calibri" w:cs="Arial"/>
                <w:sz w:val="18"/>
                <w:szCs w:val="18"/>
              </w:rPr>
              <w:t>Sunčica Bartoluci</w:t>
            </w:r>
          </w:p>
        </w:tc>
      </w:tr>
      <w:tr w:rsidR="4F870B4B" w14:paraId="7C6C9530"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7AD8E738" w14:textId="2F1CBCC4"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Categorisation</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1C1A560B" w14:textId="175EED43"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1 – esencijalan</w:t>
            </w:r>
            <w:r w:rsidRPr="4DCF16DC">
              <w:rPr>
                <w:rFonts w:ascii="Calibri" w:eastAsia="Calibri" w:hAnsi="Calibri" w:cs="Arial"/>
                <w:color w:val="000000" w:themeColor="text1"/>
                <w:sz w:val="18"/>
                <w:szCs w:val="18"/>
              </w:rPr>
              <w:t xml:space="preserve"> </w:t>
            </w:r>
          </w:p>
          <w:p w14:paraId="49C6E885" w14:textId="51F40151"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2 – koristan</w:t>
            </w:r>
            <w:r w:rsidRPr="4DCF16DC">
              <w:rPr>
                <w:rFonts w:ascii="Calibri" w:eastAsia="Calibri" w:hAnsi="Calibri" w:cs="Arial"/>
                <w:color w:val="000000" w:themeColor="text1"/>
                <w:sz w:val="18"/>
                <w:szCs w:val="18"/>
              </w:rPr>
              <w:t xml:space="preserve"> </w:t>
            </w:r>
          </w:p>
          <w:p w14:paraId="6217A768" w14:textId="0CF69CC1"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3 – potencijalno koristan</w:t>
            </w:r>
            <w:r w:rsidRPr="4DCF16DC">
              <w:rPr>
                <w:rFonts w:ascii="Calibri" w:eastAsia="Calibri" w:hAnsi="Calibri" w:cs="Arial"/>
                <w:color w:val="000000" w:themeColor="text1"/>
                <w:sz w:val="18"/>
                <w:szCs w:val="18"/>
              </w:rPr>
              <w:t xml:space="preserve"> </w:t>
            </w:r>
          </w:p>
          <w:p w14:paraId="4BDB0B1B" w14:textId="2CF5EFD5"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4 – ima zanimljiv dio</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3EF8243A" w14:textId="2449733F"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2</w:t>
            </w:r>
          </w:p>
        </w:tc>
      </w:tr>
      <w:tr w:rsidR="4F870B4B" w14:paraId="0AF44B90"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72C8D626" w14:textId="52CA82D2"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Sažetak (kopija)</w:t>
            </w:r>
            <w:r w:rsidRPr="4DCF16DC">
              <w:rPr>
                <w:rFonts w:ascii="Calibri" w:eastAsia="Calibri" w:hAnsi="Calibri" w:cs="Arial"/>
                <w:sz w:val="18"/>
                <w:szCs w:val="18"/>
              </w:rPr>
              <w:t xml:space="preserve"> </w:t>
            </w:r>
          </w:p>
          <w:p w14:paraId="79D97BC2" w14:textId="655B364F"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4A97492F" w14:textId="19709B47" w:rsidR="4F870B4B" w:rsidRDefault="5AF47463" w:rsidP="4DCF16DC">
            <w:pPr>
              <w:rPr>
                <w:rFonts w:ascii="Calibri" w:eastAsia="Calibri" w:hAnsi="Calibri" w:cs="Arial"/>
                <w:sz w:val="18"/>
                <w:szCs w:val="18"/>
              </w:rPr>
            </w:pPr>
            <w:r w:rsidRPr="4DCF16DC">
              <w:rPr>
                <w:rFonts w:ascii="Calibri" w:eastAsia="Calibri" w:hAnsi="Calibri" w:cs="Arial"/>
                <w:sz w:val="18"/>
                <w:szCs w:val="18"/>
              </w:rPr>
              <w:t>Young people expressed concern about their mental health before COVID-19, and these concerns have escalated in response to the pandemic. A lack of knowledge, stigma and unfamiliarity with how to seek help contribute to low self-efficacy in mental health care. There is a need for school settings to include mental health education, or mental health literacy (MHL), to address youth mental health needs. Evaluation of school-based MHL programs often occur without the consultation of key stakeholders, such as young people. This study aimed to understand young people’s experience of mental health education in their school and their perspectives of how future mental health education can be tailored to suit their needs. Four online group discussions were conducted with 13 participants aged 11 to 18 years old. Eight main themes were generated from these discussions: (1) limited mental health education and understanding in school, (2) struggle to help seek, (3) negative mental health attitudes, (4) desired content about mental health education, (5) understanding of mental health, (6) school as a place for support, (7) suggestions for mental health education, and (8) ways for schools to be responsive to youth needs. All the young people in this study expressed concerns around the lack of mental health education in their schools and indicated that this must change for the wellbeing of all youth.</w:t>
            </w:r>
          </w:p>
        </w:tc>
      </w:tr>
      <w:tr w:rsidR="4F870B4B" w14:paraId="6C1E813A"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065235CD" w14:textId="27D5EBA5"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Ključne riječi</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1E323460" w14:textId="35A265DD"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MZP; perspektive mladih; traženje pomoći; stigma; fokus grupe</w:t>
            </w:r>
          </w:p>
        </w:tc>
      </w:tr>
      <w:tr w:rsidR="4F870B4B" w14:paraId="16327BE2"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60D4DBAA" w14:textId="36FCADF8"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Kratki opis</w:t>
            </w:r>
            <w:r w:rsidRPr="4DCF16DC">
              <w:rPr>
                <w:rFonts w:ascii="Calibri" w:eastAsia="Calibri" w:hAnsi="Calibri" w:cs="Arial"/>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21F636DE" w14:textId="0C5096C8"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Rad donosi perspektivu mladih o tome što MZP znači u školama i koje aktivnosti škola treba poduzeti </w:t>
            </w:r>
            <w:r w:rsidR="3F6C691C" w:rsidRPr="4DCF16DC">
              <w:rPr>
                <w:rFonts w:ascii="Calibri" w:eastAsia="Calibri" w:hAnsi="Calibri" w:cs="Arial"/>
                <w:sz w:val="18"/>
                <w:szCs w:val="18"/>
              </w:rPr>
              <w:t xml:space="preserve">, </w:t>
            </w:r>
            <w:r w:rsidRPr="4DCF16DC">
              <w:rPr>
                <w:rFonts w:ascii="Calibri" w:eastAsia="Calibri" w:hAnsi="Calibri" w:cs="Arial"/>
                <w:sz w:val="18"/>
                <w:szCs w:val="18"/>
              </w:rPr>
              <w:t>naglasak je na perspektivi i potrebama učenika u školskom okruženju. Provedene su četiri fokus grupe s 13 sudionika u dobi od 11 do 18 godina.</w:t>
            </w:r>
          </w:p>
        </w:tc>
      </w:tr>
      <w:tr w:rsidR="4F870B4B" w14:paraId="70B54D15"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48EA2EB8" w14:textId="47EA207A"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Ključni nalazi</w:t>
            </w:r>
            <w:r w:rsidRPr="4DCF16DC">
              <w:rPr>
                <w:rFonts w:ascii="Calibri" w:eastAsia="Calibri" w:hAnsi="Calibri" w:cs="Arial"/>
                <w:color w:val="000000" w:themeColor="text1"/>
                <w:sz w:val="18"/>
                <w:szCs w:val="18"/>
              </w:rPr>
              <w:t xml:space="preserve"> </w:t>
            </w:r>
          </w:p>
          <w:p w14:paraId="29BBE3FE" w14:textId="5F016B0C"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080BF59B" w14:textId="502652CD"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Mladi MZ smatraju temom o kojoj treba učiti tijekom čitavog obrazovnog procesa i normalizirati razgovor o njoj u sustavu obrazovanja. </w:t>
            </w:r>
          </w:p>
          <w:p w14:paraId="22437EBC" w14:textId="666E0548" w:rsidR="4F870B4B" w:rsidRDefault="5AF47463" w:rsidP="4DCF16DC">
            <w:pPr>
              <w:rPr>
                <w:rFonts w:ascii="Calibri" w:eastAsia="Calibri" w:hAnsi="Calibri" w:cs="Arial"/>
                <w:sz w:val="18"/>
                <w:szCs w:val="18"/>
              </w:rPr>
            </w:pPr>
            <w:r w:rsidRPr="4DCF16DC">
              <w:rPr>
                <w:rFonts w:ascii="Calibri" w:eastAsia="Calibri" w:hAnsi="Calibri" w:cs="Arial"/>
                <w:sz w:val="18"/>
                <w:szCs w:val="18"/>
              </w:rPr>
              <w:t>Proaktivni i preventivni pristup podrazumijeva uključivanje mladih u osmišljavanje i provedbu dostupnih programa MZP, otvoreno razgovaranje o MZ u školi te osiguravanje jasnih informacija o dostupnim resursima i načinima traženja pomoći, uključujući postupke u situacijama kada stručna podrška nije odmah dostupna.</w:t>
            </w:r>
          </w:p>
          <w:p w14:paraId="2DB23E4F" w14:textId="1DBEA4FF"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w:t>
            </w:r>
          </w:p>
        </w:tc>
      </w:tr>
      <w:tr w:rsidR="4F870B4B" w14:paraId="744BCE25"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1CF1B739" w14:textId="51411FA2"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Kako može koristiti na MentiFit projektu?</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6E64982C" w14:textId="2CC647A5"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520430CF" w14:textId="72370939"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Kao baza za konstruiranje fokus-grupa s učenicima: što žele, čega se boje, gdje traže pomoć, kao i u kasnijom fazi projekta za diseminacijske materijale za škole/roditelje. </w:t>
            </w:r>
          </w:p>
        </w:tc>
      </w:tr>
      <w:tr w:rsidR="4F870B4B" w14:paraId="394CCD7B" w14:textId="77777777" w:rsidTr="4DCF16DC">
        <w:trPr>
          <w:trHeight w:val="300"/>
          <w:jc w:val="center"/>
        </w:trPr>
        <w:tc>
          <w:tcPr>
            <w:tcW w:w="2880" w:type="dxa"/>
            <w:tcBorders>
              <w:top w:val="single" w:sz="8" w:space="0" w:color="auto"/>
              <w:left w:val="single" w:sz="8" w:space="0" w:color="auto"/>
              <w:bottom w:val="single" w:sz="8" w:space="0" w:color="auto"/>
              <w:right w:val="single" w:sz="8" w:space="0" w:color="auto"/>
            </w:tcBorders>
          </w:tcPr>
          <w:p w14:paraId="5B8CEC51" w14:textId="7D10A07C"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Komentar, pitanje… </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211" w:type="dxa"/>
            <w:tcBorders>
              <w:top w:val="single" w:sz="8" w:space="0" w:color="auto"/>
              <w:left w:val="single" w:sz="8" w:space="0" w:color="auto"/>
              <w:bottom w:val="single" w:sz="8" w:space="0" w:color="auto"/>
              <w:right w:val="single" w:sz="8" w:space="0" w:color="auto"/>
            </w:tcBorders>
          </w:tcPr>
          <w:p w14:paraId="6985AB1D" w14:textId="77FE4F28" w:rsidR="4F870B4B" w:rsidRDefault="5AF47463" w:rsidP="4DCF16DC">
            <w:pPr>
              <w:rPr>
                <w:rFonts w:ascii="Calibri" w:eastAsia="Calibri" w:hAnsi="Calibri" w:cs="Arial"/>
                <w:sz w:val="18"/>
                <w:szCs w:val="18"/>
              </w:rPr>
            </w:pPr>
            <w:r w:rsidRPr="4DCF16DC">
              <w:rPr>
                <w:rFonts w:ascii="Calibri" w:eastAsia="Calibri" w:hAnsi="Calibri" w:cs="Arial"/>
                <w:sz w:val="18"/>
                <w:szCs w:val="18"/>
              </w:rPr>
              <w:t>Dobra poveznica između psihologije (MZP) i kineziologije (školski kontekst, izvedivost u nastavi).</w:t>
            </w:r>
          </w:p>
        </w:tc>
      </w:tr>
    </w:tbl>
    <w:p w14:paraId="7C503FC3" w14:textId="3DE7E8EC" w:rsidR="4F870B4B" w:rsidRDefault="4F870B4B"/>
    <w:tbl>
      <w:tblPr>
        <w:tblW w:w="90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25"/>
        <w:gridCol w:w="6127"/>
      </w:tblGrid>
      <w:tr w:rsidR="4F870B4B" w14:paraId="79AB8DCE"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46BF5E96" w14:textId="196D3476" w:rsidR="4F870B4B" w:rsidRDefault="33D10D42" w:rsidP="4DCF16DC">
            <w:pPr>
              <w:spacing w:after="0"/>
              <w:rPr>
                <w:rFonts w:eastAsiaTheme="minorEastAsia"/>
                <w:color w:val="000000" w:themeColor="text1"/>
                <w:sz w:val="18"/>
                <w:szCs w:val="18"/>
              </w:rPr>
            </w:pPr>
            <w:r w:rsidRPr="4DCF16DC">
              <w:rPr>
                <w:rFonts w:eastAsiaTheme="minorEastAsia"/>
                <w:b/>
                <w:bCs/>
                <w:color w:val="000000" w:themeColor="text1"/>
                <w:sz w:val="18"/>
                <w:szCs w:val="18"/>
              </w:rPr>
              <w:t>Referenca</w:t>
            </w:r>
            <w:r w:rsidR="0591323F" w:rsidRPr="4DCF16DC">
              <w:rPr>
                <w:rFonts w:eastAsiaTheme="minorEastAsia"/>
                <w:b/>
                <w:bCs/>
                <w:color w:val="000000" w:themeColor="text1"/>
                <w:sz w:val="18"/>
                <w:szCs w:val="18"/>
              </w:rPr>
              <w:t> </w:t>
            </w:r>
            <w:r w:rsidR="0591323F"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28A29670" w14:textId="35C690C4" w:rsidR="4F870B4B" w:rsidRDefault="13877183" w:rsidP="4DCF16DC">
            <w:pPr>
              <w:spacing w:after="0"/>
              <w:rPr>
                <w:rFonts w:eastAsiaTheme="minorEastAsia"/>
                <w:sz w:val="18"/>
                <w:szCs w:val="18"/>
              </w:rPr>
            </w:pPr>
            <w:r w:rsidRPr="4DCF16DC">
              <w:rPr>
                <w:rFonts w:eastAsiaTheme="minorEastAsia"/>
                <w:sz w:val="18"/>
                <w:szCs w:val="18"/>
              </w:rPr>
              <w:t xml:space="preserve">Woolfson, R., Woolfson, L., Mooney, L., &amp; Bryce, D. (2009). Young people's views of mental health education in secondary schools: A Scottish study. </w:t>
            </w:r>
            <w:r w:rsidRPr="4DCF16DC">
              <w:rPr>
                <w:rFonts w:eastAsiaTheme="minorEastAsia"/>
                <w:i/>
                <w:iCs/>
                <w:sz w:val="18"/>
                <w:szCs w:val="18"/>
              </w:rPr>
              <w:t>Child: Care, Health and Development, 35</w:t>
            </w:r>
            <w:r w:rsidRPr="4DCF16DC">
              <w:rPr>
                <w:rFonts w:eastAsiaTheme="minorEastAsia"/>
                <w:sz w:val="18"/>
                <w:szCs w:val="18"/>
              </w:rPr>
              <w:t xml:space="preserve">(6), 790–798. </w:t>
            </w:r>
            <w:hyperlink r:id="rId35">
              <w:r w:rsidRPr="4DCF16DC">
                <w:rPr>
                  <w:rStyle w:val="Hiperveza"/>
                  <w:rFonts w:eastAsiaTheme="minorEastAsia"/>
                  <w:sz w:val="18"/>
                  <w:szCs w:val="18"/>
                </w:rPr>
                <w:t>https://doi.org/10.1111/j.1365-2214.2008.00901.x</w:t>
              </w:r>
            </w:hyperlink>
          </w:p>
        </w:tc>
      </w:tr>
      <w:tr w:rsidR="4F870B4B" w14:paraId="0D27821B"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305263F1" w14:textId="4DC21595"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Link</w:t>
            </w: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0C2BC34B" w14:textId="2E4DBF19" w:rsidR="4F870B4B" w:rsidRDefault="5AF47463" w:rsidP="4DCF16DC">
            <w:pPr>
              <w:spacing w:after="0"/>
              <w:rPr>
                <w:rFonts w:eastAsiaTheme="minorEastAsia"/>
                <w:sz w:val="18"/>
                <w:szCs w:val="18"/>
              </w:rPr>
            </w:pPr>
            <w:r w:rsidRPr="4DCF16DC">
              <w:rPr>
                <w:rFonts w:eastAsiaTheme="minorEastAsia"/>
                <w:sz w:val="18"/>
                <w:szCs w:val="18"/>
              </w:rPr>
              <w:t xml:space="preserve"> </w:t>
            </w:r>
            <w:hyperlink r:id="rId36">
              <w:r w:rsidRPr="4DCF16DC">
                <w:rPr>
                  <w:rStyle w:val="Hiperveza"/>
                  <w:rFonts w:eastAsiaTheme="minorEastAsia"/>
                  <w:sz w:val="18"/>
                  <w:szCs w:val="18"/>
                </w:rPr>
                <w:t>https://onlinelibrary.wiley.com/doi/10.1111/j.1365-2214.2008.00901.x</w:t>
              </w:r>
            </w:hyperlink>
          </w:p>
        </w:tc>
      </w:tr>
      <w:tr w:rsidR="4F870B4B" w14:paraId="7B6CA51F"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252E2173" w14:textId="051ACEEF"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Područje-tema</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7197B763" w14:textId="75E0E981" w:rsidR="4F870B4B" w:rsidRDefault="5AF47463" w:rsidP="4DCF16DC">
            <w:pPr>
              <w:spacing w:after="0"/>
              <w:rPr>
                <w:rFonts w:eastAsiaTheme="minorEastAsia"/>
                <w:sz w:val="18"/>
                <w:szCs w:val="18"/>
              </w:rPr>
            </w:pPr>
            <w:r w:rsidRPr="4DCF16DC">
              <w:rPr>
                <w:rFonts w:eastAsiaTheme="minorEastAsia"/>
                <w:sz w:val="18"/>
                <w:szCs w:val="18"/>
              </w:rPr>
              <w:t xml:space="preserve"> mladi, MZ, mješovite metode, fokus grupe</w:t>
            </w:r>
          </w:p>
        </w:tc>
      </w:tr>
      <w:tr w:rsidR="4F870B4B" w14:paraId="55986247"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06B71153" w14:textId="7C350D39"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Pripremila/pripremio</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67700621" w14:textId="4CA18EAB" w:rsidR="4F870B4B" w:rsidRDefault="5AF47463" w:rsidP="4DCF16DC">
            <w:pPr>
              <w:spacing w:after="0"/>
              <w:rPr>
                <w:rFonts w:eastAsiaTheme="minorEastAsia"/>
                <w:sz w:val="18"/>
                <w:szCs w:val="18"/>
              </w:rPr>
            </w:pPr>
            <w:r w:rsidRPr="4DCF16DC">
              <w:rPr>
                <w:rFonts w:eastAsiaTheme="minorEastAsia"/>
                <w:sz w:val="18"/>
                <w:szCs w:val="18"/>
              </w:rPr>
              <w:t xml:space="preserve"> Sunčica Bartoluci</w:t>
            </w:r>
          </w:p>
        </w:tc>
      </w:tr>
      <w:tr w:rsidR="4F870B4B" w14:paraId="07B49F53"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73BD696D" w14:textId="49427283"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Categorisation</w:t>
            </w: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p w14:paraId="0A862F86" w14:textId="45720774" w:rsidR="4F870B4B" w:rsidRDefault="5AF47463" w:rsidP="4DCF16DC">
            <w:pPr>
              <w:spacing w:after="0"/>
              <w:rPr>
                <w:rFonts w:eastAsiaTheme="minorEastAsia"/>
                <w:color w:val="000000" w:themeColor="text1"/>
                <w:sz w:val="18"/>
                <w:szCs w:val="18"/>
              </w:rPr>
            </w:pPr>
            <w:r w:rsidRPr="4DCF16DC">
              <w:rPr>
                <w:rFonts w:eastAsiaTheme="minorEastAsia"/>
                <w:color w:val="000000" w:themeColor="text1"/>
                <w:sz w:val="18"/>
                <w:szCs w:val="18"/>
                <w:lang w:val="en-GB"/>
              </w:rPr>
              <w:t>1 – esencijalan</w:t>
            </w:r>
            <w:r w:rsidRPr="4DCF16DC">
              <w:rPr>
                <w:rFonts w:eastAsiaTheme="minorEastAsia"/>
                <w:color w:val="000000" w:themeColor="text1"/>
                <w:sz w:val="18"/>
                <w:szCs w:val="18"/>
              </w:rPr>
              <w:t xml:space="preserve"> </w:t>
            </w:r>
          </w:p>
          <w:p w14:paraId="3F569FE0" w14:textId="6B7B472F" w:rsidR="4F870B4B" w:rsidRDefault="5AF47463" w:rsidP="4DCF16DC">
            <w:pPr>
              <w:spacing w:after="0"/>
              <w:rPr>
                <w:rFonts w:eastAsiaTheme="minorEastAsia"/>
                <w:color w:val="000000" w:themeColor="text1"/>
                <w:sz w:val="18"/>
                <w:szCs w:val="18"/>
              </w:rPr>
            </w:pPr>
            <w:r w:rsidRPr="4DCF16DC">
              <w:rPr>
                <w:rFonts w:eastAsiaTheme="minorEastAsia"/>
                <w:color w:val="000000" w:themeColor="text1"/>
                <w:sz w:val="18"/>
                <w:szCs w:val="18"/>
                <w:lang w:val="en-GB"/>
              </w:rPr>
              <w:t>2 – koristan</w:t>
            </w:r>
            <w:r w:rsidRPr="4DCF16DC">
              <w:rPr>
                <w:rFonts w:eastAsiaTheme="minorEastAsia"/>
                <w:color w:val="000000" w:themeColor="text1"/>
                <w:sz w:val="18"/>
                <w:szCs w:val="18"/>
              </w:rPr>
              <w:t xml:space="preserve"> </w:t>
            </w:r>
          </w:p>
          <w:p w14:paraId="5FA0DFE3" w14:textId="2999B4AD" w:rsidR="4F870B4B" w:rsidRDefault="5AF47463" w:rsidP="4DCF16DC">
            <w:pPr>
              <w:spacing w:after="0"/>
              <w:rPr>
                <w:rFonts w:eastAsiaTheme="minorEastAsia"/>
                <w:color w:val="000000" w:themeColor="text1"/>
                <w:sz w:val="18"/>
                <w:szCs w:val="18"/>
              </w:rPr>
            </w:pPr>
            <w:r w:rsidRPr="4DCF16DC">
              <w:rPr>
                <w:rFonts w:eastAsiaTheme="minorEastAsia"/>
                <w:color w:val="000000" w:themeColor="text1"/>
                <w:sz w:val="18"/>
                <w:szCs w:val="18"/>
                <w:lang w:val="en-GB"/>
              </w:rPr>
              <w:t>3 – potencijalno koristan</w:t>
            </w:r>
            <w:r w:rsidRPr="4DCF16DC">
              <w:rPr>
                <w:rFonts w:eastAsiaTheme="minorEastAsia"/>
                <w:color w:val="000000" w:themeColor="text1"/>
                <w:sz w:val="18"/>
                <w:szCs w:val="18"/>
              </w:rPr>
              <w:t xml:space="preserve"> </w:t>
            </w:r>
          </w:p>
          <w:p w14:paraId="0BC1AB8E" w14:textId="350E4F67" w:rsidR="4F870B4B" w:rsidRDefault="5AF47463" w:rsidP="4DCF16DC">
            <w:pPr>
              <w:spacing w:after="0"/>
              <w:rPr>
                <w:rFonts w:eastAsiaTheme="minorEastAsia"/>
                <w:color w:val="000000" w:themeColor="text1"/>
                <w:sz w:val="18"/>
                <w:szCs w:val="18"/>
              </w:rPr>
            </w:pPr>
            <w:r w:rsidRPr="4DCF16DC">
              <w:rPr>
                <w:rFonts w:eastAsiaTheme="minorEastAsia"/>
                <w:color w:val="000000" w:themeColor="text1"/>
                <w:sz w:val="18"/>
                <w:szCs w:val="18"/>
                <w:lang w:val="en-GB"/>
              </w:rPr>
              <w:t>4 – ima zanimljiv dio</w:t>
            </w: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676D0006" w14:textId="1D1A5384" w:rsidR="4F870B4B" w:rsidRDefault="5AF47463" w:rsidP="4DCF16DC">
            <w:pPr>
              <w:spacing w:after="0"/>
              <w:rPr>
                <w:rFonts w:eastAsiaTheme="minorEastAsia"/>
                <w:color w:val="4472C4" w:themeColor="accent1"/>
                <w:sz w:val="18"/>
                <w:szCs w:val="18"/>
              </w:rPr>
            </w:pPr>
            <w:r w:rsidRPr="4DCF16DC">
              <w:rPr>
                <w:rFonts w:eastAsiaTheme="minorEastAsia"/>
                <w:color w:val="4472C4" w:themeColor="accent1"/>
                <w:sz w:val="18"/>
                <w:szCs w:val="18"/>
              </w:rPr>
              <w:t xml:space="preserve"> 2</w:t>
            </w:r>
          </w:p>
        </w:tc>
      </w:tr>
      <w:tr w:rsidR="4F870B4B" w14:paraId="7C02B65C"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2F4ADC28" w14:textId="573935B7" w:rsidR="4F870B4B" w:rsidRDefault="5AF47463" w:rsidP="4DCF16DC">
            <w:pPr>
              <w:spacing w:after="0"/>
              <w:rPr>
                <w:rFonts w:eastAsiaTheme="minorEastAsia"/>
                <w:sz w:val="18"/>
                <w:szCs w:val="18"/>
              </w:rPr>
            </w:pPr>
            <w:r w:rsidRPr="4DCF16DC">
              <w:rPr>
                <w:rFonts w:eastAsiaTheme="minorEastAsia"/>
                <w:b/>
                <w:bCs/>
                <w:sz w:val="18"/>
                <w:szCs w:val="18"/>
              </w:rPr>
              <w:t>Sažetak (kopija)</w:t>
            </w:r>
            <w:r w:rsidRPr="4DCF16DC">
              <w:rPr>
                <w:rFonts w:eastAsiaTheme="minorEastAsia"/>
                <w:sz w:val="18"/>
                <w:szCs w:val="18"/>
              </w:rPr>
              <w:t xml:space="preserve"> </w:t>
            </w:r>
          </w:p>
          <w:p w14:paraId="0C5C25DB" w14:textId="5A077232"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032E7941" w14:textId="274E20E8" w:rsidR="4F870B4B" w:rsidRDefault="5AF47463" w:rsidP="4DCF16DC">
            <w:pPr>
              <w:spacing w:after="0"/>
              <w:rPr>
                <w:rFonts w:eastAsiaTheme="minorEastAsia"/>
                <w:sz w:val="18"/>
                <w:szCs w:val="18"/>
              </w:rPr>
            </w:pPr>
            <w:r w:rsidRPr="4DCF16DC">
              <w:rPr>
                <w:rFonts w:eastAsiaTheme="minorEastAsia"/>
                <w:sz w:val="18"/>
                <w:szCs w:val="18"/>
              </w:rPr>
              <w:t xml:space="preserve"> Background  This exploratory study used mixed methods to investigate young people's preferences in the delivery of mental health education and to investigate possible age and gender differences.</w:t>
            </w:r>
          </w:p>
          <w:p w14:paraId="4306E08C" w14:textId="321CF0CB"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48B3A805" w14:textId="46482153" w:rsidR="4F870B4B" w:rsidRDefault="5AF47463" w:rsidP="4DCF16DC">
            <w:pPr>
              <w:spacing w:after="0"/>
              <w:rPr>
                <w:rFonts w:eastAsiaTheme="minorEastAsia"/>
                <w:sz w:val="18"/>
                <w:szCs w:val="18"/>
              </w:rPr>
            </w:pPr>
            <w:r w:rsidRPr="4DCF16DC">
              <w:rPr>
                <w:rFonts w:eastAsiaTheme="minorEastAsia"/>
                <w:sz w:val="18"/>
                <w:szCs w:val="18"/>
              </w:rPr>
              <w:t>Method  Information was gathered about the delivery of mental health education in three secondary schools. Nine pupil focus groups were carried out to identify key themes which were then further developed and administered through questionnaires to a larger sample of 773 pupils.</w:t>
            </w:r>
          </w:p>
          <w:p w14:paraId="29AE4BD0" w14:textId="0DFD6E68"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3D4F369A" w14:textId="02154659" w:rsidR="4F870B4B" w:rsidRDefault="5AF47463" w:rsidP="4DCF16DC">
            <w:pPr>
              <w:spacing w:after="0"/>
              <w:rPr>
                <w:rFonts w:eastAsiaTheme="minorEastAsia"/>
                <w:sz w:val="18"/>
                <w:szCs w:val="18"/>
              </w:rPr>
            </w:pPr>
            <w:r w:rsidRPr="4DCF16DC">
              <w:rPr>
                <w:rFonts w:eastAsiaTheme="minorEastAsia"/>
                <w:sz w:val="18"/>
                <w:szCs w:val="18"/>
              </w:rPr>
              <w:t>Results  Gender and age differences were found in young people's preferences about who should deliver mental health education, and what, when, where and how this should be delivered.</w:t>
            </w:r>
          </w:p>
          <w:p w14:paraId="26124F18" w14:textId="792D3276"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56E55FCB" w14:textId="07516B00" w:rsidR="4F870B4B" w:rsidRDefault="5AF47463" w:rsidP="4DCF16DC">
            <w:pPr>
              <w:spacing w:after="0"/>
              <w:rPr>
                <w:rFonts w:eastAsiaTheme="minorEastAsia"/>
                <w:sz w:val="18"/>
                <w:szCs w:val="18"/>
              </w:rPr>
            </w:pPr>
            <w:r w:rsidRPr="4DCF16DC">
              <w:rPr>
                <w:rFonts w:eastAsiaTheme="minorEastAsia"/>
                <w:sz w:val="18"/>
                <w:szCs w:val="18"/>
              </w:rPr>
              <w:t>Conclusion  Mental health education should reflect the needs of young people. Age and gender preferences should be considered when designing these programmes.</w:t>
            </w:r>
          </w:p>
        </w:tc>
      </w:tr>
      <w:tr w:rsidR="4F870B4B" w14:paraId="3C40BD90"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4EBBA692" w14:textId="47F559E2"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Ključne riječi</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76C24CD9" w14:textId="2A572D4D" w:rsidR="4F870B4B" w:rsidRDefault="5AF47463" w:rsidP="4DCF16DC">
            <w:pPr>
              <w:spacing w:after="0"/>
              <w:rPr>
                <w:rFonts w:eastAsiaTheme="minorEastAsia"/>
                <w:sz w:val="18"/>
                <w:szCs w:val="18"/>
              </w:rPr>
            </w:pPr>
            <w:r w:rsidRPr="4DCF16DC">
              <w:rPr>
                <w:rFonts w:eastAsiaTheme="minorEastAsia"/>
                <w:sz w:val="18"/>
                <w:szCs w:val="18"/>
              </w:rPr>
              <w:t xml:space="preserve"> edukacija o MZ, mladi, srednja škola, preferencije, rodne razlike, mještovite metode</w:t>
            </w:r>
          </w:p>
        </w:tc>
      </w:tr>
      <w:tr w:rsidR="4F870B4B" w14:paraId="5D0D083A"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6E5086ED" w14:textId="353E020F" w:rsidR="4F870B4B" w:rsidRDefault="5AF47463" w:rsidP="4DCF16DC">
            <w:pPr>
              <w:spacing w:after="0"/>
              <w:rPr>
                <w:rFonts w:eastAsiaTheme="minorEastAsia"/>
                <w:sz w:val="18"/>
                <w:szCs w:val="18"/>
              </w:rPr>
            </w:pPr>
            <w:r w:rsidRPr="4DCF16DC">
              <w:rPr>
                <w:rFonts w:eastAsiaTheme="minorEastAsia"/>
                <w:b/>
                <w:bCs/>
                <w:sz w:val="18"/>
                <w:szCs w:val="18"/>
              </w:rPr>
              <w:t>Kratki opis</w:t>
            </w:r>
            <w:r w:rsidRPr="4DCF16DC">
              <w:rPr>
                <w:rFonts w:eastAsiaTheme="minorEastAsia"/>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7B22D444" w14:textId="3A5F900C" w:rsidR="4F870B4B" w:rsidRDefault="5AF47463" w:rsidP="4DCF16DC">
            <w:pPr>
              <w:spacing w:after="0"/>
              <w:rPr>
                <w:rFonts w:eastAsiaTheme="minorEastAsia"/>
                <w:sz w:val="18"/>
                <w:szCs w:val="18"/>
              </w:rPr>
            </w:pPr>
            <w:r w:rsidRPr="4DCF16DC">
              <w:rPr>
                <w:rFonts w:eastAsiaTheme="minorEastAsia"/>
                <w:sz w:val="18"/>
                <w:szCs w:val="18"/>
              </w:rPr>
              <w:t xml:space="preserve"> Istraživanje ispituje kako mladi žele da se mentalno zdravlje obrađuje u srednjoj školi te tko bi to trebao provoditi; nalazi ukazuju na razlike po dobi i spolu.</w:t>
            </w:r>
          </w:p>
        </w:tc>
      </w:tr>
      <w:tr w:rsidR="4F870B4B" w14:paraId="3FCF4FBD"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34BD2633" w14:textId="09E7BBDF"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Ključni nalazi</w:t>
            </w:r>
            <w:r w:rsidRPr="4DCF16DC">
              <w:rPr>
                <w:rFonts w:eastAsiaTheme="minorEastAsia"/>
                <w:color w:val="000000" w:themeColor="text1"/>
                <w:sz w:val="18"/>
                <w:szCs w:val="18"/>
              </w:rPr>
              <w:t xml:space="preserve"> </w:t>
            </w:r>
          </w:p>
          <w:p w14:paraId="193C14E3" w14:textId="7753C55B"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1B5FB889" w14:textId="77929BAC" w:rsidR="4F870B4B" w:rsidRDefault="5AF47463" w:rsidP="4DCF16DC">
            <w:pPr>
              <w:spacing w:after="0"/>
              <w:rPr>
                <w:rFonts w:eastAsiaTheme="minorEastAsia"/>
                <w:sz w:val="18"/>
                <w:szCs w:val="18"/>
              </w:rPr>
            </w:pPr>
            <w:r w:rsidRPr="4DCF16DC">
              <w:rPr>
                <w:rFonts w:eastAsiaTheme="minorEastAsia"/>
                <w:sz w:val="18"/>
                <w:szCs w:val="18"/>
              </w:rPr>
              <w:t xml:space="preserve"> Postoje dobne i rodne razlike u preferencijama (tko treba držati edukacije o MZ, sadržaj, kada i kako). </w:t>
            </w:r>
          </w:p>
          <w:p w14:paraId="2707DF73" w14:textId="0FA89835" w:rsidR="4F870B4B" w:rsidRDefault="5AF47463" w:rsidP="4DCF16DC">
            <w:pPr>
              <w:spacing w:after="0"/>
              <w:rPr>
                <w:rFonts w:eastAsiaTheme="minorEastAsia"/>
                <w:sz w:val="18"/>
                <w:szCs w:val="18"/>
              </w:rPr>
            </w:pPr>
            <w:r w:rsidRPr="4DCF16DC">
              <w:rPr>
                <w:rFonts w:eastAsiaTheme="minorEastAsia"/>
                <w:sz w:val="18"/>
                <w:szCs w:val="18"/>
              </w:rPr>
              <w:t>Programi trebaju reflektirati potrebe mladih.</w:t>
            </w:r>
          </w:p>
        </w:tc>
      </w:tr>
      <w:tr w:rsidR="4F870B4B" w14:paraId="78BB8C35"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7B7CACBB" w14:textId="5C34A457"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Kako može koristiti na MentiFit projektu?</w:t>
            </w: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p w14:paraId="4614F555" w14:textId="578A03C2"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7BA6CE79" w14:textId="7E30E30F" w:rsidR="4F870B4B" w:rsidRDefault="5AF47463" w:rsidP="4DCF16DC">
            <w:pPr>
              <w:spacing w:after="0"/>
              <w:rPr>
                <w:rFonts w:eastAsiaTheme="minorEastAsia"/>
                <w:sz w:val="18"/>
                <w:szCs w:val="18"/>
              </w:rPr>
            </w:pPr>
            <w:r w:rsidRPr="4DCF16DC">
              <w:rPr>
                <w:rFonts w:eastAsiaTheme="minorEastAsia"/>
                <w:sz w:val="18"/>
                <w:szCs w:val="18"/>
              </w:rPr>
              <w:t xml:space="preserve"> Može pomoći u dizajniranju način provedbe intervencije  (npr. TZK vs sat razrednika; stručni suradnici vs nastavnici; format radionice).</w:t>
            </w:r>
          </w:p>
          <w:p w14:paraId="773E8ED2" w14:textId="1BB71E39" w:rsidR="4F870B4B" w:rsidRDefault="5AF47463" w:rsidP="4DCF16DC">
            <w:pPr>
              <w:spacing w:after="0"/>
              <w:rPr>
                <w:rFonts w:eastAsiaTheme="minorEastAsia"/>
                <w:sz w:val="18"/>
                <w:szCs w:val="18"/>
              </w:rPr>
            </w:pPr>
            <w:r w:rsidRPr="4DCF16DC">
              <w:rPr>
                <w:rFonts w:eastAsiaTheme="minorEastAsia"/>
                <w:sz w:val="18"/>
                <w:szCs w:val="18"/>
              </w:rPr>
              <w:t xml:space="preserve">Ukazuje na različite potrebe učenica i učenika. </w:t>
            </w:r>
          </w:p>
          <w:p w14:paraId="0AEAB559" w14:textId="13BADB43" w:rsidR="4F870B4B" w:rsidRDefault="5AF47463" w:rsidP="4DCF16DC">
            <w:pPr>
              <w:spacing w:after="0"/>
              <w:rPr>
                <w:rFonts w:eastAsiaTheme="minorEastAsia"/>
                <w:sz w:val="18"/>
                <w:szCs w:val="18"/>
              </w:rPr>
            </w:pPr>
            <w:r w:rsidRPr="4DCF16DC">
              <w:rPr>
                <w:rFonts w:eastAsiaTheme="minorEastAsia"/>
                <w:sz w:val="18"/>
                <w:szCs w:val="18"/>
              </w:rPr>
              <w:t xml:space="preserve"> </w:t>
            </w:r>
          </w:p>
          <w:p w14:paraId="31D842E6" w14:textId="29C3B680" w:rsidR="4F870B4B" w:rsidRDefault="5AF47463" w:rsidP="4DCF16DC">
            <w:pPr>
              <w:spacing w:after="0"/>
              <w:rPr>
                <w:rFonts w:eastAsiaTheme="minorEastAsia"/>
                <w:sz w:val="18"/>
                <w:szCs w:val="18"/>
              </w:rPr>
            </w:pPr>
            <w:r w:rsidRPr="4DCF16DC">
              <w:rPr>
                <w:rFonts w:eastAsiaTheme="minorEastAsia"/>
                <w:sz w:val="18"/>
                <w:szCs w:val="18"/>
              </w:rPr>
              <w:t>Mogućnost preuzimanja dijela pitanja za fokusice.</w:t>
            </w:r>
          </w:p>
        </w:tc>
      </w:tr>
      <w:tr w:rsidR="4F870B4B" w14:paraId="15D6CAA6" w14:textId="77777777" w:rsidTr="4DCF16DC">
        <w:trPr>
          <w:trHeight w:val="300"/>
        </w:trPr>
        <w:tc>
          <w:tcPr>
            <w:tcW w:w="2925" w:type="dxa"/>
            <w:tcBorders>
              <w:top w:val="single" w:sz="8" w:space="0" w:color="auto"/>
              <w:left w:val="single" w:sz="8" w:space="0" w:color="auto"/>
              <w:bottom w:val="single" w:sz="8" w:space="0" w:color="auto"/>
              <w:right w:val="single" w:sz="8" w:space="0" w:color="auto"/>
            </w:tcBorders>
          </w:tcPr>
          <w:p w14:paraId="6DAFF0A6" w14:textId="3D8C7566" w:rsidR="4F870B4B" w:rsidRDefault="5AF47463" w:rsidP="4DCF16DC">
            <w:pPr>
              <w:spacing w:after="0"/>
              <w:rPr>
                <w:rFonts w:eastAsiaTheme="minorEastAsia"/>
                <w:color w:val="000000" w:themeColor="text1"/>
                <w:sz w:val="18"/>
                <w:szCs w:val="18"/>
              </w:rPr>
            </w:pPr>
            <w:r w:rsidRPr="4DCF16DC">
              <w:rPr>
                <w:rFonts w:eastAsiaTheme="minorEastAsia"/>
                <w:b/>
                <w:bCs/>
                <w:color w:val="000000" w:themeColor="text1"/>
                <w:sz w:val="18"/>
                <w:szCs w:val="18"/>
                <w:lang w:val="en-GB"/>
              </w:rPr>
              <w:t>Komentar, pitanje… </w:t>
            </w:r>
            <w:r w:rsidRPr="4DCF16DC">
              <w:rPr>
                <w:rFonts w:eastAsiaTheme="minorEastAsia"/>
                <w:b/>
                <w:bCs/>
                <w:color w:val="000000" w:themeColor="text1"/>
                <w:sz w:val="18"/>
                <w:szCs w:val="18"/>
              </w:rPr>
              <w:t> </w:t>
            </w:r>
            <w:r w:rsidRPr="4DCF16DC">
              <w:rPr>
                <w:rFonts w:eastAsiaTheme="minorEastAsia"/>
                <w:color w:val="000000" w:themeColor="text1"/>
                <w:sz w:val="18"/>
                <w:szCs w:val="18"/>
              </w:rPr>
              <w:t xml:space="preserve"> </w:t>
            </w:r>
          </w:p>
        </w:tc>
        <w:tc>
          <w:tcPr>
            <w:tcW w:w="6127" w:type="dxa"/>
            <w:tcBorders>
              <w:top w:val="single" w:sz="8" w:space="0" w:color="auto"/>
              <w:left w:val="single" w:sz="8" w:space="0" w:color="auto"/>
              <w:bottom w:val="single" w:sz="8" w:space="0" w:color="auto"/>
              <w:right w:val="single" w:sz="8" w:space="0" w:color="auto"/>
            </w:tcBorders>
          </w:tcPr>
          <w:p w14:paraId="78E2C092" w14:textId="61ED14EA" w:rsidR="4F870B4B" w:rsidRDefault="4F870B4B" w:rsidP="4DCF16DC">
            <w:pPr>
              <w:spacing w:after="0"/>
              <w:rPr>
                <w:rFonts w:eastAsiaTheme="minorEastAsia"/>
                <w:sz w:val="18"/>
                <w:szCs w:val="18"/>
              </w:rPr>
            </w:pPr>
          </w:p>
        </w:tc>
      </w:tr>
    </w:tbl>
    <w:p w14:paraId="5C2C60EF" w14:textId="0AA6288B" w:rsidR="4F870B4B" w:rsidRDefault="4F870B4B"/>
    <w:tbl>
      <w:tblPr>
        <w:tblW w:w="905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55"/>
        <w:gridCol w:w="6098"/>
      </w:tblGrid>
      <w:tr w:rsidR="4F870B4B" w14:paraId="6BA8B86C"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221BABFC" w14:textId="56116D7A" w:rsidR="4F870B4B" w:rsidRDefault="33D10D42"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Referenca</w:t>
            </w:r>
            <w:r w:rsidR="0591323F" w:rsidRPr="4DCF16DC">
              <w:rPr>
                <w:rFonts w:ascii="Calibri" w:eastAsia="Calibri" w:hAnsi="Calibri" w:cs="Arial"/>
                <w:b/>
                <w:bCs/>
                <w:color w:val="000000" w:themeColor="text1"/>
                <w:sz w:val="18"/>
                <w:szCs w:val="18"/>
              </w:rPr>
              <w:t> </w:t>
            </w:r>
            <w:r w:rsidR="0591323F"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2CDD9678" w14:textId="3C21B3BA" w:rsidR="4F870B4B" w:rsidRDefault="72D5C067" w:rsidP="4DCF16DC">
            <w:pPr>
              <w:rPr>
                <w:rFonts w:ascii="Calibri" w:eastAsia="Calibri" w:hAnsi="Calibri" w:cs="Calibri"/>
                <w:sz w:val="18"/>
                <w:szCs w:val="18"/>
                <w:lang w:val="en-US"/>
              </w:rPr>
            </w:pPr>
            <w:r w:rsidRPr="4DCF16DC">
              <w:rPr>
                <w:rFonts w:ascii="Calibri" w:eastAsia="Calibri" w:hAnsi="Calibri" w:cs="Calibri"/>
                <w:sz w:val="18"/>
                <w:szCs w:val="18"/>
                <w:lang w:val="en-US"/>
              </w:rPr>
              <w:t xml:space="preserve">Mensa-Kwao, A., Sub Cuc, I., Concepcion, T., Kemp, C. G., Hughsam, M., Sinha, M., &amp; et al. (2024). A mixed methods analysis of youth mental health intervention feasibility and acceptability in a North American city: Perspectives from Seattle, Washington. </w:t>
            </w:r>
            <w:r w:rsidRPr="4DCF16DC">
              <w:rPr>
                <w:rFonts w:ascii="Calibri" w:eastAsia="Calibri" w:hAnsi="Calibri" w:cs="Calibri"/>
                <w:i/>
                <w:iCs/>
                <w:sz w:val="18"/>
                <w:szCs w:val="18"/>
                <w:lang w:val="en-US"/>
              </w:rPr>
              <w:t>PLoS ONE, 19</w:t>
            </w:r>
            <w:r w:rsidRPr="4DCF16DC">
              <w:rPr>
                <w:rFonts w:ascii="Calibri" w:eastAsia="Calibri" w:hAnsi="Calibri" w:cs="Calibri"/>
                <w:sz w:val="18"/>
                <w:szCs w:val="18"/>
                <w:lang w:val="en-US"/>
              </w:rPr>
              <w:t xml:space="preserve">(3), e0288214. </w:t>
            </w:r>
            <w:hyperlink r:id="rId37">
              <w:r w:rsidRPr="4DCF16DC">
                <w:rPr>
                  <w:rStyle w:val="Hiperveza"/>
                  <w:rFonts w:ascii="Calibri" w:eastAsia="Calibri" w:hAnsi="Calibri" w:cs="Calibri"/>
                  <w:sz w:val="18"/>
                  <w:szCs w:val="18"/>
                  <w:lang w:val="en-US"/>
                </w:rPr>
                <w:t>https://doi.org/10.1371/journal.pone.0288214</w:t>
              </w:r>
            </w:hyperlink>
          </w:p>
        </w:tc>
      </w:tr>
      <w:tr w:rsidR="4F870B4B" w14:paraId="3A7F3F5A"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74C9FE23" w14:textId="4B55F722"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Link</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7AFF1941" w14:textId="7DBC3385"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w:t>
            </w:r>
            <w:hyperlink r:id="rId38">
              <w:r w:rsidRPr="4DCF16DC">
                <w:rPr>
                  <w:rStyle w:val="Hiperveza"/>
                  <w:rFonts w:ascii="Calibri" w:eastAsia="Calibri" w:hAnsi="Calibri" w:cs="Arial"/>
                  <w:sz w:val="18"/>
                  <w:szCs w:val="18"/>
                </w:rPr>
                <w:t>https://journals.plos.org/plosone/article?id=10.1371/journal.pone.0288214</w:t>
              </w:r>
            </w:hyperlink>
          </w:p>
        </w:tc>
      </w:tr>
      <w:tr w:rsidR="4F870B4B" w14:paraId="211E60E2"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019E118C" w14:textId="71AD4ED2"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Područje-tema</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5234EDE6" w14:textId="558D67F2"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MZ, mladi, mješovite metode </w:t>
            </w:r>
          </w:p>
        </w:tc>
      </w:tr>
      <w:tr w:rsidR="4F870B4B" w14:paraId="7E95CACB"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4C14D88B" w14:textId="31F0B02B"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Pripremila/pripremio</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5C09B734" w14:textId="697D3621"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w:t>
            </w:r>
            <w:r w:rsidR="6A1A06C8" w:rsidRPr="4DCF16DC">
              <w:rPr>
                <w:rFonts w:ascii="Calibri" w:eastAsia="Calibri" w:hAnsi="Calibri" w:cs="Arial"/>
                <w:sz w:val="18"/>
                <w:szCs w:val="18"/>
              </w:rPr>
              <w:t>Sunčica Bartoluci</w:t>
            </w:r>
          </w:p>
        </w:tc>
      </w:tr>
      <w:tr w:rsidR="4F870B4B" w14:paraId="75EE5754"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10024A00" w14:textId="6CFBE345"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Categorisation</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4CAF2025" w14:textId="55126EDA"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1 – esencijalan</w:t>
            </w:r>
            <w:r w:rsidRPr="4DCF16DC">
              <w:rPr>
                <w:rFonts w:ascii="Calibri" w:eastAsia="Calibri" w:hAnsi="Calibri" w:cs="Arial"/>
                <w:color w:val="000000" w:themeColor="text1"/>
                <w:sz w:val="18"/>
                <w:szCs w:val="18"/>
              </w:rPr>
              <w:t xml:space="preserve"> </w:t>
            </w:r>
          </w:p>
          <w:p w14:paraId="0D76AF71" w14:textId="1FE682A6"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2 – koristan</w:t>
            </w:r>
            <w:r w:rsidRPr="4DCF16DC">
              <w:rPr>
                <w:rFonts w:ascii="Calibri" w:eastAsia="Calibri" w:hAnsi="Calibri" w:cs="Arial"/>
                <w:color w:val="000000" w:themeColor="text1"/>
                <w:sz w:val="18"/>
                <w:szCs w:val="18"/>
              </w:rPr>
              <w:t xml:space="preserve"> </w:t>
            </w:r>
          </w:p>
          <w:p w14:paraId="798BA593" w14:textId="537F2316"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3 – potencijalno koristan</w:t>
            </w:r>
            <w:r w:rsidRPr="4DCF16DC">
              <w:rPr>
                <w:rFonts w:ascii="Calibri" w:eastAsia="Calibri" w:hAnsi="Calibri" w:cs="Arial"/>
                <w:color w:val="000000" w:themeColor="text1"/>
                <w:sz w:val="18"/>
                <w:szCs w:val="18"/>
              </w:rPr>
              <w:t xml:space="preserve"> </w:t>
            </w:r>
          </w:p>
          <w:p w14:paraId="36B3120F" w14:textId="59193E4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color w:val="000000" w:themeColor="text1"/>
                <w:sz w:val="18"/>
                <w:szCs w:val="18"/>
                <w:lang w:val="en-GB"/>
              </w:rPr>
              <w:t>4 – ima zanimljiv dio</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036DE0CE" w14:textId="2A4ACFC4"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2</w:t>
            </w:r>
          </w:p>
        </w:tc>
      </w:tr>
      <w:tr w:rsidR="4F870B4B" w14:paraId="24AD9760"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598E5B4A" w14:textId="130B25D4"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Sažetak (kopija)</w:t>
            </w:r>
            <w:r w:rsidRPr="4DCF16DC">
              <w:rPr>
                <w:rFonts w:ascii="Calibri" w:eastAsia="Calibri" w:hAnsi="Calibri" w:cs="Arial"/>
                <w:sz w:val="18"/>
                <w:szCs w:val="18"/>
              </w:rPr>
              <w:t xml:space="preserve"> </w:t>
            </w:r>
          </w:p>
          <w:p w14:paraId="591D1EC0" w14:textId="6CBBB0A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2AB5F8B5" w14:textId="0EF23185"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In March 2021, the Governor of Washington declared a youth mental health crisis. State data revealed high rates of youth suicide and inadequate access to services. This study aims to ascertain the kinds of support across the mental health care continuum recommended by young people and key stakeholders who could assist with implementation in Seattle. We interviewed 15 key informants to identify the contextual, structural, and individual-level factors that increase the risk of poor mental health and deter access to care among youth. We complimented these data with a 25-item survey of 117 participants in King County to assess the feasibility and acceptability of interventions for youth mental health. We conducted a deductive thematic qualitative analysis of the interviews and performed descriptive analyses of the quantitative data, using t-tests and χ2 tests to summarize and compare participant characteristics stratified by age group. Qualitative informants attributed challenges to youth mental health to social isolation and relational problems. Example interventions included creating environments that increase belonging and implementation of culturally congruent mental health services. Quantitative study participants rated all evidence-based mental health interventions presented as highly acceptable. However, youth preferred interventions promoting social connectedness, peer support, and holistic approaches to care, while non-youth preferred interventions focused on suicide, and substance abuse prevention. Key informants and survey participants identified schools as the most important setting for mental health interventions. There were no significant differences among quantitative outcomes. Our findings highlight the need for interventions that reduce isolation and increase social connectedness to support youth mental health. As the city designs youth responsive interventions, schools and digital platforms should be prioritized. Engaging multiple stakeholders, particularly young people, tackling cultural stigma surrounding mental health, and improving access to safe community spaces are important considerations for youth mental health interventions.</w:t>
            </w:r>
          </w:p>
        </w:tc>
      </w:tr>
      <w:tr w:rsidR="4F870B4B" w14:paraId="60034F62"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737A7983" w14:textId="1C0D8F43"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Ključne riječi</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3AF0DA7C" w14:textId="2810C971"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MZ, intervencija, mladi, mješovite metode </w:t>
            </w:r>
          </w:p>
        </w:tc>
      </w:tr>
      <w:tr w:rsidR="4F870B4B" w14:paraId="1139A7AC"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115BE189" w14:textId="5E46D3B6" w:rsidR="4F870B4B" w:rsidRDefault="5AF47463" w:rsidP="4DCF16DC">
            <w:pPr>
              <w:rPr>
                <w:rFonts w:ascii="Calibri" w:eastAsia="Calibri" w:hAnsi="Calibri" w:cs="Arial"/>
                <w:sz w:val="18"/>
                <w:szCs w:val="18"/>
              </w:rPr>
            </w:pPr>
            <w:r w:rsidRPr="4DCF16DC">
              <w:rPr>
                <w:rFonts w:ascii="Calibri" w:eastAsia="Calibri" w:hAnsi="Calibri" w:cs="Arial"/>
                <w:b/>
                <w:bCs/>
                <w:sz w:val="18"/>
                <w:szCs w:val="18"/>
              </w:rPr>
              <w:t>Kratki opis</w:t>
            </w:r>
            <w:r w:rsidRPr="4DCF16DC">
              <w:rPr>
                <w:rFonts w:ascii="Calibri" w:eastAsia="Calibri" w:hAnsi="Calibri" w:cs="Arial"/>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19B28A90" w14:textId="51683F5E"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Rad kombinira perspektive mladih i drugih dionika o tome koje su intervencije za podršku mentalnom zdravlju najpotrebnije i najprihvatljivije, te koliko su izvedive za implementaciju.</w:t>
            </w:r>
          </w:p>
          <w:p w14:paraId="79DCAE75" w14:textId="512D45CC" w:rsidR="4F870B4B" w:rsidRDefault="5AF47463" w:rsidP="4DCF16DC">
            <w:pPr>
              <w:rPr>
                <w:rFonts w:ascii="Calibri" w:eastAsia="Calibri" w:hAnsi="Calibri" w:cs="Arial"/>
                <w:sz w:val="18"/>
                <w:szCs w:val="18"/>
              </w:rPr>
            </w:pPr>
            <w:r w:rsidRPr="4DCF16DC">
              <w:rPr>
                <w:rFonts w:ascii="Calibri" w:eastAsia="Calibri" w:hAnsi="Calibri" w:cs="Arial"/>
                <w:sz w:val="18"/>
                <w:szCs w:val="18"/>
              </w:rPr>
              <w:t>Provedeni su intervjui s mladima i donositeljima javih politika i presječno kvantitativno anonimno istraživanje provedeno elektroničkim putem na uzorku od 117 mladih i osoba koje rade s mladima uz mogućnost davanja otvorenih komentara.</w:t>
            </w:r>
          </w:p>
        </w:tc>
      </w:tr>
      <w:tr w:rsidR="4F870B4B" w14:paraId="3ED9AAA0"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2FC2B57E" w14:textId="33598F7F"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Ključni nalazi</w:t>
            </w:r>
            <w:r w:rsidRPr="4DCF16DC">
              <w:rPr>
                <w:rFonts w:ascii="Calibri" w:eastAsia="Calibri" w:hAnsi="Calibri" w:cs="Arial"/>
                <w:color w:val="000000" w:themeColor="text1"/>
                <w:sz w:val="18"/>
                <w:szCs w:val="18"/>
              </w:rPr>
              <w:t xml:space="preserve"> </w:t>
            </w:r>
          </w:p>
          <w:p w14:paraId="3E2BD3B3" w14:textId="641A3ECE"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289E8260" w14:textId="309EB9AC"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Kvalitativni podaci ukazuju na: percepcije rizika za narušeno MZ među mladima, praznine u odgovoru na potrebe MZ - otežani pristup formalnim uslugama MZ i neformalnim izvorima podrške (nepostojanje mjesta na koje se može otići), nedostatak znanja mladih o tome kako i gdje potražiti pomoć, niz kulturnih prepreka koje mogu smanjiti pristup skrbi;  uloga vodstva i sudjelovanja mladih te preporuke za intervencije.</w:t>
            </w:r>
          </w:p>
          <w:p w14:paraId="6C8B9B9C" w14:textId="64ACD5E9" w:rsidR="4F870B4B" w:rsidRDefault="5AF47463" w:rsidP="4DCF16DC">
            <w:pPr>
              <w:rPr>
                <w:rFonts w:ascii="Calibri" w:eastAsia="Calibri" w:hAnsi="Calibri" w:cs="Arial"/>
                <w:sz w:val="18"/>
                <w:szCs w:val="18"/>
              </w:rPr>
            </w:pPr>
            <w:r w:rsidRPr="4DCF16DC">
              <w:rPr>
                <w:rFonts w:ascii="Calibri" w:eastAsia="Calibri" w:hAnsi="Calibri" w:cs="Arial"/>
                <w:sz w:val="18"/>
                <w:szCs w:val="18"/>
              </w:rPr>
              <w:t>Mladi su preferirali intervencije koje promiču socijalnu povezanost, vršnjačku podršku i holističke pristupe skrbi, dok su odrasli sudionici (ne-mladi) preferirali intervencije usmjerene na prevenciju suicida i zlouporabe supstanci. Ključni informanti i sudionici ankete identificirali su škole kao najvažnije okruženje za provedbu intervencija mentalnog zdravlja. Prilikom osmišljavanja intervencija prilagođenih mladima, trebalo bi dati prednost školama i digitalnim platformama.</w:t>
            </w:r>
          </w:p>
        </w:tc>
      </w:tr>
      <w:tr w:rsidR="4F870B4B" w14:paraId="02C55A5B"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2A128648" w14:textId="6D0FAF47"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Kako može koristiti na MentiFit projektu?</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p w14:paraId="4176607D" w14:textId="7EC835C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0CC67D70" w14:textId="61AF255F"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 Kao metodološki okvir za pre-intervencijsku fazu, kako strukturirati odluke o sadržaju (što uključiti u MZP/TP module).</w:t>
            </w:r>
          </w:p>
          <w:p w14:paraId="0F9B5264" w14:textId="59063B92" w:rsidR="4F870B4B" w:rsidRDefault="5AF47463" w:rsidP="4DCF16DC">
            <w:pPr>
              <w:rPr>
                <w:rFonts w:ascii="Calibri" w:eastAsia="Calibri" w:hAnsi="Calibri" w:cs="Arial"/>
                <w:sz w:val="18"/>
                <w:szCs w:val="18"/>
              </w:rPr>
            </w:pPr>
            <w:r w:rsidRPr="4DCF16DC">
              <w:rPr>
                <w:rFonts w:ascii="Calibri" w:eastAsia="Calibri" w:hAnsi="Calibri" w:cs="Arial"/>
                <w:sz w:val="18"/>
                <w:szCs w:val="18"/>
              </w:rPr>
              <w:t xml:space="preserve">Korisno za diseminaciju: argument za uključivanje mladih i škole kao ključnih implementacijskih partnera. </w:t>
            </w:r>
          </w:p>
        </w:tc>
      </w:tr>
      <w:tr w:rsidR="4F870B4B" w14:paraId="3A7ECD0D" w14:textId="77777777" w:rsidTr="4DCF16DC">
        <w:trPr>
          <w:trHeight w:val="285"/>
        </w:trPr>
        <w:tc>
          <w:tcPr>
            <w:tcW w:w="2955" w:type="dxa"/>
            <w:tcBorders>
              <w:top w:val="single" w:sz="8" w:space="0" w:color="auto"/>
              <w:left w:val="single" w:sz="8" w:space="0" w:color="auto"/>
              <w:bottom w:val="single" w:sz="8" w:space="0" w:color="auto"/>
              <w:right w:val="single" w:sz="8" w:space="0" w:color="auto"/>
            </w:tcBorders>
          </w:tcPr>
          <w:p w14:paraId="2E484818" w14:textId="78635248" w:rsidR="4F870B4B" w:rsidRDefault="5AF47463" w:rsidP="4DCF16DC">
            <w:pPr>
              <w:rPr>
                <w:rFonts w:ascii="Calibri" w:eastAsia="Calibri" w:hAnsi="Calibri" w:cs="Arial"/>
                <w:color w:val="000000" w:themeColor="text1"/>
                <w:sz w:val="18"/>
                <w:szCs w:val="18"/>
              </w:rPr>
            </w:pPr>
            <w:r w:rsidRPr="4DCF16DC">
              <w:rPr>
                <w:rFonts w:ascii="Calibri" w:eastAsia="Calibri" w:hAnsi="Calibri" w:cs="Arial"/>
                <w:b/>
                <w:bCs/>
                <w:color w:val="000000" w:themeColor="text1"/>
                <w:sz w:val="18"/>
                <w:szCs w:val="18"/>
                <w:lang w:val="en-GB"/>
              </w:rPr>
              <w:t>Komentar, pitanje… </w:t>
            </w:r>
            <w:r w:rsidRPr="4DCF16DC">
              <w:rPr>
                <w:rFonts w:ascii="Calibri" w:eastAsia="Calibri" w:hAnsi="Calibri" w:cs="Arial"/>
                <w:b/>
                <w:bCs/>
                <w:color w:val="000000" w:themeColor="text1"/>
                <w:sz w:val="18"/>
                <w:szCs w:val="18"/>
              </w:rPr>
              <w:t> </w:t>
            </w:r>
            <w:r w:rsidRPr="4DCF16DC">
              <w:rPr>
                <w:rFonts w:ascii="Calibri" w:eastAsia="Calibri" w:hAnsi="Calibri" w:cs="Arial"/>
                <w:color w:val="000000" w:themeColor="text1"/>
                <w:sz w:val="18"/>
                <w:szCs w:val="18"/>
              </w:rPr>
              <w:t xml:space="preserve"> </w:t>
            </w:r>
          </w:p>
        </w:tc>
        <w:tc>
          <w:tcPr>
            <w:tcW w:w="6098" w:type="dxa"/>
            <w:tcBorders>
              <w:top w:val="single" w:sz="8" w:space="0" w:color="auto"/>
              <w:left w:val="single" w:sz="8" w:space="0" w:color="auto"/>
              <w:bottom w:val="single" w:sz="8" w:space="0" w:color="auto"/>
              <w:right w:val="single" w:sz="8" w:space="0" w:color="auto"/>
            </w:tcBorders>
          </w:tcPr>
          <w:p w14:paraId="798E5177" w14:textId="01A07AF7" w:rsidR="4F870B4B" w:rsidRDefault="4F870B4B" w:rsidP="4DCF16DC">
            <w:pPr>
              <w:rPr>
                <w:rFonts w:ascii="Calibri" w:eastAsia="Calibri" w:hAnsi="Calibri" w:cs="Arial"/>
                <w:sz w:val="18"/>
                <w:szCs w:val="18"/>
              </w:rPr>
            </w:pPr>
          </w:p>
        </w:tc>
      </w:tr>
    </w:tbl>
    <w:p w14:paraId="57B5B623" w14:textId="09086CFB" w:rsidR="4F870B4B" w:rsidRDefault="4F870B4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122"/>
      </w:tblGrid>
      <w:tr w:rsidR="0752BA49" w14:paraId="30B60F6A" w14:textId="77777777" w:rsidTr="4DCF16DC">
        <w:trPr>
          <w:trHeight w:val="1230"/>
        </w:trPr>
        <w:tc>
          <w:tcPr>
            <w:tcW w:w="2940" w:type="dxa"/>
          </w:tcPr>
          <w:p w14:paraId="70C4E768" w14:textId="2EC7E535" w:rsidR="33D10D42" w:rsidRDefault="33D10D42"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Referenca</w:t>
            </w:r>
            <w:r w:rsidR="1BFBD78B" w:rsidRPr="4DCF16DC">
              <w:rPr>
                <w:rFonts w:eastAsiaTheme="minorEastAsia"/>
                <w:b/>
                <w:bCs/>
                <w:color w:val="000000" w:themeColor="text1"/>
                <w:sz w:val="18"/>
                <w:szCs w:val="18"/>
                <w:lang w:eastAsia="hr-HR"/>
              </w:rPr>
              <w:t> </w:t>
            </w:r>
          </w:p>
        </w:tc>
        <w:tc>
          <w:tcPr>
            <w:tcW w:w="6122" w:type="dxa"/>
          </w:tcPr>
          <w:p w14:paraId="0946F640" w14:textId="3FF8B9DC" w:rsidR="31706FBB" w:rsidRDefault="6CCE0829" w:rsidP="4DCF16DC">
            <w:pPr>
              <w:spacing w:after="0" w:line="240" w:lineRule="auto"/>
              <w:rPr>
                <w:rFonts w:eastAsiaTheme="minorEastAsia"/>
                <w:sz w:val="18"/>
                <w:szCs w:val="18"/>
                <w:lang w:val="en-US"/>
              </w:rPr>
            </w:pPr>
            <w:r w:rsidRPr="4DCF16DC">
              <w:rPr>
                <w:rFonts w:eastAsiaTheme="minorEastAsia"/>
                <w:sz w:val="18"/>
                <w:szCs w:val="18"/>
                <w:lang w:val="en-US"/>
              </w:rPr>
              <w:t xml:space="preserve">Shanshan, Z., Ping, T., Jiabin, L., Tianzhuo, L., Xiaomei, L., Bolei, W., Leifu, D., &amp; Jianfeng, T. (2025). Relationship between physical literacy and mental health in adolescents: A moderated mediation model with resilience and physical activity as variables. </w:t>
            </w:r>
            <w:r w:rsidRPr="4DCF16DC">
              <w:rPr>
                <w:rFonts w:eastAsiaTheme="minorEastAsia"/>
                <w:i/>
                <w:iCs/>
                <w:sz w:val="18"/>
                <w:szCs w:val="18"/>
                <w:lang w:val="en-US"/>
              </w:rPr>
              <w:t>Frontiers in Psychology, 16</w:t>
            </w:r>
            <w:r w:rsidRPr="4DCF16DC">
              <w:rPr>
                <w:rFonts w:eastAsiaTheme="minorEastAsia"/>
                <w:sz w:val="18"/>
                <w:szCs w:val="18"/>
                <w:lang w:val="en-US"/>
              </w:rPr>
              <w:t xml:space="preserve">, Article 1518423. </w:t>
            </w:r>
            <w:hyperlink r:id="rId39">
              <w:r w:rsidRPr="4DCF16DC">
                <w:rPr>
                  <w:rStyle w:val="Hiperveza"/>
                  <w:rFonts w:eastAsiaTheme="minorEastAsia"/>
                  <w:sz w:val="18"/>
                  <w:szCs w:val="18"/>
                  <w:lang w:val="en-US"/>
                </w:rPr>
                <w:t>https://doi.org/10.3389/fpsyg.2025.1518423</w:t>
              </w:r>
            </w:hyperlink>
          </w:p>
        </w:tc>
      </w:tr>
      <w:tr w:rsidR="0752BA49" w14:paraId="7EBB9416" w14:textId="77777777" w:rsidTr="4DCF16DC">
        <w:trPr>
          <w:trHeight w:val="300"/>
        </w:trPr>
        <w:tc>
          <w:tcPr>
            <w:tcW w:w="2940" w:type="dxa"/>
          </w:tcPr>
          <w:p w14:paraId="7BB2818E"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Link</w:t>
            </w:r>
            <w:r w:rsidRPr="4DCF16DC">
              <w:rPr>
                <w:rFonts w:eastAsiaTheme="minorEastAsia"/>
                <w:b/>
                <w:bCs/>
                <w:color w:val="000000" w:themeColor="text1"/>
                <w:sz w:val="18"/>
                <w:szCs w:val="18"/>
                <w:lang w:eastAsia="hr-HR"/>
              </w:rPr>
              <w:t> </w:t>
            </w:r>
          </w:p>
        </w:tc>
        <w:tc>
          <w:tcPr>
            <w:tcW w:w="6122" w:type="dxa"/>
          </w:tcPr>
          <w:p w14:paraId="56138924" w14:textId="62BF97D1" w:rsidR="6C28FF1F" w:rsidRDefault="000D719D" w:rsidP="4DCF16DC">
            <w:pPr>
              <w:spacing w:after="0" w:line="240" w:lineRule="auto"/>
              <w:rPr>
                <w:rFonts w:eastAsiaTheme="minorEastAsia"/>
                <w:sz w:val="18"/>
                <w:szCs w:val="18"/>
              </w:rPr>
            </w:pPr>
            <w:hyperlink r:id="rId40">
              <w:r w:rsidR="18B8AE75" w:rsidRPr="4DCF16DC">
                <w:rPr>
                  <w:rStyle w:val="Hiperveza"/>
                  <w:rFonts w:eastAsiaTheme="minorEastAsia"/>
                  <w:sz w:val="18"/>
                  <w:szCs w:val="18"/>
                </w:rPr>
                <w:t>file:///C:/Users/user/Downloads/fpsyg-16-1518423.pdf</w:t>
              </w:r>
            </w:hyperlink>
            <w:r w:rsidR="18B8AE75" w:rsidRPr="4DCF16DC">
              <w:rPr>
                <w:rFonts w:eastAsiaTheme="minorEastAsia"/>
                <w:sz w:val="18"/>
                <w:szCs w:val="18"/>
              </w:rPr>
              <w:t xml:space="preserve"> </w:t>
            </w:r>
          </w:p>
        </w:tc>
      </w:tr>
      <w:tr w:rsidR="0752BA49" w14:paraId="52B4F626" w14:textId="77777777" w:rsidTr="4DCF16DC">
        <w:trPr>
          <w:trHeight w:val="300"/>
        </w:trPr>
        <w:tc>
          <w:tcPr>
            <w:tcW w:w="2940" w:type="dxa"/>
          </w:tcPr>
          <w:p w14:paraId="7D49F5A2"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Područje-tema</w:t>
            </w:r>
          </w:p>
        </w:tc>
        <w:tc>
          <w:tcPr>
            <w:tcW w:w="6122" w:type="dxa"/>
          </w:tcPr>
          <w:p w14:paraId="43ACABD1" w14:textId="08A8DBE4" w:rsidR="747BD8FD" w:rsidRDefault="427F646E" w:rsidP="4DCF16DC">
            <w:pPr>
              <w:spacing w:after="0" w:line="240" w:lineRule="auto"/>
              <w:rPr>
                <w:rFonts w:eastAsiaTheme="minorEastAsia"/>
                <w:sz w:val="18"/>
                <w:szCs w:val="18"/>
                <w:lang w:eastAsia="hr-HR"/>
              </w:rPr>
            </w:pPr>
            <w:r w:rsidRPr="4DCF16DC">
              <w:rPr>
                <w:rFonts w:eastAsiaTheme="minorEastAsia"/>
                <w:sz w:val="18"/>
                <w:szCs w:val="18"/>
                <w:lang w:eastAsia="hr-HR"/>
              </w:rPr>
              <w:t>Povezanost tjelesne pismenosti  i mentalnog zdravlja</w:t>
            </w:r>
          </w:p>
        </w:tc>
      </w:tr>
      <w:tr w:rsidR="0752BA49" w14:paraId="35F42B3A" w14:textId="77777777" w:rsidTr="4DCF16DC">
        <w:trPr>
          <w:trHeight w:val="300"/>
        </w:trPr>
        <w:tc>
          <w:tcPr>
            <w:tcW w:w="2940" w:type="dxa"/>
          </w:tcPr>
          <w:p w14:paraId="30B1B992" w14:textId="77777777" w:rsidR="0752BA49" w:rsidRDefault="1BFBD78B" w:rsidP="4DCF16DC">
            <w:pPr>
              <w:spacing w:after="0" w:line="240" w:lineRule="auto"/>
              <w:rPr>
                <w:rFonts w:eastAsiaTheme="minorEastAsia"/>
                <w:b/>
                <w:bCs/>
                <w:color w:val="000000" w:themeColor="text1"/>
                <w:sz w:val="18"/>
                <w:szCs w:val="18"/>
                <w:lang w:val="en-GB" w:eastAsia="hr-HR"/>
              </w:rPr>
            </w:pPr>
            <w:r w:rsidRPr="4DCF16DC">
              <w:rPr>
                <w:rFonts w:eastAsiaTheme="minorEastAsia"/>
                <w:b/>
                <w:bCs/>
                <w:color w:val="000000" w:themeColor="text1"/>
                <w:sz w:val="18"/>
                <w:szCs w:val="18"/>
                <w:lang w:val="en-GB" w:eastAsia="hr-HR"/>
              </w:rPr>
              <w:t>Pripremila/pripremio</w:t>
            </w:r>
          </w:p>
        </w:tc>
        <w:tc>
          <w:tcPr>
            <w:tcW w:w="6122" w:type="dxa"/>
          </w:tcPr>
          <w:p w14:paraId="3EC5CB19" w14:textId="5A3D3216" w:rsidR="0023E349" w:rsidRDefault="0C805B22" w:rsidP="4DCF16DC">
            <w:pPr>
              <w:spacing w:after="0" w:line="240" w:lineRule="auto"/>
              <w:rPr>
                <w:rFonts w:eastAsiaTheme="minorEastAsia"/>
                <w:sz w:val="18"/>
                <w:szCs w:val="18"/>
                <w:lang w:eastAsia="hr-HR"/>
              </w:rPr>
            </w:pPr>
            <w:r w:rsidRPr="4DCF16DC">
              <w:rPr>
                <w:rFonts w:eastAsiaTheme="minorEastAsia"/>
                <w:sz w:val="18"/>
                <w:szCs w:val="18"/>
                <w:lang w:eastAsia="hr-HR"/>
              </w:rPr>
              <w:t>Tatjana Trošt</w:t>
            </w:r>
          </w:p>
        </w:tc>
      </w:tr>
      <w:tr w:rsidR="0752BA49" w14:paraId="4C829E08" w14:textId="77777777" w:rsidTr="4DCF16DC">
        <w:trPr>
          <w:trHeight w:val="300"/>
        </w:trPr>
        <w:tc>
          <w:tcPr>
            <w:tcW w:w="2940" w:type="dxa"/>
          </w:tcPr>
          <w:p w14:paraId="09663C4B" w14:textId="77777777" w:rsidR="0752BA49" w:rsidRDefault="1BFBD78B" w:rsidP="4DCF16DC">
            <w:pPr>
              <w:spacing w:after="0" w:line="240" w:lineRule="exact"/>
              <w:rPr>
                <w:rFonts w:eastAsiaTheme="minorEastAsia"/>
                <w:b/>
                <w:bCs/>
                <w:sz w:val="18"/>
                <w:szCs w:val="18"/>
                <w:lang w:eastAsia="hr-HR"/>
              </w:rPr>
            </w:pPr>
            <w:r w:rsidRPr="4DCF16DC">
              <w:rPr>
                <w:rFonts w:eastAsiaTheme="minorEastAsia"/>
                <w:b/>
                <w:bCs/>
                <w:color w:val="000000" w:themeColor="text1"/>
                <w:sz w:val="18"/>
                <w:szCs w:val="18"/>
                <w:lang w:val="en-GB" w:eastAsia="hr-HR"/>
              </w:rPr>
              <w:t>Categorisation</w:t>
            </w:r>
            <w:r w:rsidRPr="4DCF16DC">
              <w:rPr>
                <w:rFonts w:eastAsiaTheme="minorEastAsia"/>
                <w:b/>
                <w:bCs/>
                <w:color w:val="000000" w:themeColor="text1"/>
                <w:sz w:val="18"/>
                <w:szCs w:val="18"/>
                <w:lang w:eastAsia="hr-HR"/>
              </w:rPr>
              <w:t> </w:t>
            </w:r>
          </w:p>
          <w:p w14:paraId="6AAA12A7" w14:textId="77777777" w:rsidR="0752BA49" w:rsidRDefault="1BFBD78B"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1 – esencijalan</w:t>
            </w:r>
          </w:p>
          <w:p w14:paraId="33C888F7" w14:textId="77777777" w:rsidR="0752BA49" w:rsidRDefault="1BFBD78B"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2 – koristan</w:t>
            </w:r>
          </w:p>
          <w:p w14:paraId="338BE665" w14:textId="77777777" w:rsidR="0752BA49" w:rsidRDefault="1BFBD78B"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3 – potencijalno koristan</w:t>
            </w:r>
          </w:p>
          <w:p w14:paraId="1941BB06" w14:textId="77777777" w:rsidR="0752BA49" w:rsidRDefault="1BFBD78B" w:rsidP="4DCF16DC">
            <w:pPr>
              <w:spacing w:after="0" w:line="240" w:lineRule="exact"/>
              <w:rPr>
                <w:rFonts w:eastAsiaTheme="minorEastAsia"/>
                <w:b/>
                <w:bCs/>
                <w:sz w:val="18"/>
                <w:szCs w:val="18"/>
                <w:lang w:eastAsia="hr-HR"/>
              </w:rPr>
            </w:pPr>
            <w:r w:rsidRPr="4DCF16DC">
              <w:rPr>
                <w:rFonts w:eastAsiaTheme="minorEastAsia"/>
                <w:color w:val="000000" w:themeColor="text1"/>
                <w:sz w:val="18"/>
                <w:szCs w:val="18"/>
                <w:lang w:val="en-GB" w:eastAsia="hr-HR"/>
              </w:rPr>
              <w:t>4 – ima zanimljiv dio</w:t>
            </w:r>
            <w:r w:rsidRPr="4DCF16DC">
              <w:rPr>
                <w:rFonts w:eastAsiaTheme="minorEastAsia"/>
                <w:b/>
                <w:bCs/>
                <w:color w:val="000000" w:themeColor="text1"/>
                <w:sz w:val="18"/>
                <w:szCs w:val="18"/>
                <w:lang w:eastAsia="hr-HR"/>
              </w:rPr>
              <w:t> </w:t>
            </w:r>
          </w:p>
        </w:tc>
        <w:tc>
          <w:tcPr>
            <w:tcW w:w="6122" w:type="dxa"/>
          </w:tcPr>
          <w:p w14:paraId="1F273009" w14:textId="77777777" w:rsidR="0752BA49" w:rsidRDefault="0752BA49" w:rsidP="4DCF16DC">
            <w:pPr>
              <w:spacing w:after="0" w:line="240" w:lineRule="exact"/>
              <w:rPr>
                <w:rFonts w:eastAsiaTheme="minorEastAsia"/>
                <w:b/>
                <w:bCs/>
                <w:color w:val="4472C4" w:themeColor="accent1"/>
                <w:sz w:val="18"/>
                <w:szCs w:val="18"/>
                <w:lang w:eastAsia="hr-HR"/>
              </w:rPr>
            </w:pPr>
          </w:p>
          <w:p w14:paraId="702A6140" w14:textId="7FF81687" w:rsidR="0752BA49" w:rsidRDefault="1BFBD78B" w:rsidP="4DCF16DC">
            <w:pPr>
              <w:spacing w:after="0" w:line="240" w:lineRule="exact"/>
              <w:rPr>
                <w:rFonts w:eastAsiaTheme="minorEastAsia"/>
                <w:b/>
                <w:bCs/>
                <w:color w:val="4472C4" w:themeColor="accent1"/>
                <w:sz w:val="18"/>
                <w:szCs w:val="18"/>
                <w:lang w:eastAsia="hr-HR"/>
              </w:rPr>
            </w:pPr>
            <w:r w:rsidRPr="4DCF16DC">
              <w:rPr>
                <w:rFonts w:eastAsiaTheme="minorEastAsia"/>
                <w:b/>
                <w:bCs/>
                <w:color w:val="4471C4"/>
                <w:sz w:val="18"/>
                <w:szCs w:val="18"/>
                <w:lang w:eastAsia="hr-HR"/>
              </w:rPr>
              <w:t xml:space="preserve">  2</w:t>
            </w:r>
          </w:p>
        </w:tc>
      </w:tr>
      <w:tr w:rsidR="0752BA49" w14:paraId="536755EC" w14:textId="77777777" w:rsidTr="4DCF16DC">
        <w:trPr>
          <w:trHeight w:val="300"/>
        </w:trPr>
        <w:tc>
          <w:tcPr>
            <w:tcW w:w="2940" w:type="dxa"/>
          </w:tcPr>
          <w:p w14:paraId="06F54100"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Sažetak (kopija)</w:t>
            </w:r>
          </w:p>
          <w:p w14:paraId="09858770"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122" w:type="dxa"/>
          </w:tcPr>
          <w:p w14:paraId="5AFF53DF" w14:textId="606E689A"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Introduction: Physical literacy is defined as the motivation, confidence, physical competence, knowledge, and understanding to value and take responsibility for engaging in physical activities for life, and may be associated with higher mental health; however, few studies have explored the processes underlying these positive associations.</w:t>
            </w:r>
          </w:p>
          <w:p w14:paraId="3E71045C" w14:textId="5CC124FB"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Objectives: The present study aimed to explore the role of resilience in the relationship between physical literacy and mental health, and further examines the mediating role of physical activity.</w:t>
            </w:r>
          </w:p>
          <w:p w14:paraId="2DA7A41D" w14:textId="566EE4CB"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Methods: This cross-sectional study recruited a sample of 1,022 (aged 10-18 years, Mage = 14.84, SD = 1.79, 44.9% male) Chinese students, grades five to twelve, via physical education courses. The hypothesized moderated mediation model was employed using Model 4 and Model 8 of the PROCESS macro for SPSS to examine the relationships between physical literacy, mental health, resilience, and physical activity.</w:t>
            </w:r>
          </w:p>
          <w:p w14:paraId="4A0B305E" w14:textId="30C71AB7"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Results: Physical literacy was positively and significantly correlated with mental health (r = 0.364, p &lt; 0.001), and resilience (r = 0.486, p &lt; 0.001). After controlling for sex and grade variables, resilience mediated the relationship between adolescent physical literacy and mental health, physical activity moderated the relationship between physical literacy and resilience in the mediator model but not between physical literacy and mental health.</w:t>
            </w:r>
          </w:p>
          <w:p w14:paraId="528FEB18" w14:textId="0228BAE6"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Discussion: The present study suggests that could physical literacy predict increased levels of resilience, which could then lead to higher mental health. However, this mediation effect may fluctuate across individuals with different levels of physical activity. Overall, this study may reveal that physical literacy promotes resilience and mental health processes in individuals with different levels of physical activity.</w:t>
            </w:r>
          </w:p>
          <w:p w14:paraId="3659DB45" w14:textId="59CF3CD0" w:rsidR="5EA73A31" w:rsidRDefault="232C0DBF" w:rsidP="4DCF16DC">
            <w:pPr>
              <w:pStyle w:val="mb0"/>
              <w:spacing w:before="0" w:beforeAutospacing="0" w:after="0" w:afterAutospacing="0"/>
              <w:jc w:val="both"/>
              <w:rPr>
                <w:rFonts w:asciiTheme="minorHAnsi" w:eastAsiaTheme="minorEastAsia" w:hAnsiTheme="minorHAnsi" w:cstheme="minorBidi"/>
                <w:color w:val="282828"/>
                <w:sz w:val="18"/>
                <w:szCs w:val="18"/>
                <w:lang w:val="en-US"/>
              </w:rPr>
            </w:pPr>
            <w:r w:rsidRPr="4DCF16DC">
              <w:rPr>
                <w:rFonts w:asciiTheme="minorHAnsi" w:eastAsiaTheme="minorEastAsia" w:hAnsiTheme="minorHAnsi" w:cstheme="minorBidi"/>
                <w:color w:val="282828"/>
                <w:sz w:val="18"/>
                <w:szCs w:val="18"/>
                <w:lang w:val="en-US"/>
              </w:rPr>
              <w:t>Keywords: adolescence; mental health; physical activity; physical literacy; resilience.</w:t>
            </w:r>
          </w:p>
        </w:tc>
      </w:tr>
      <w:tr w:rsidR="0752BA49" w14:paraId="6D57C822" w14:textId="77777777" w:rsidTr="4DCF16DC">
        <w:trPr>
          <w:trHeight w:val="300"/>
        </w:trPr>
        <w:tc>
          <w:tcPr>
            <w:tcW w:w="2940" w:type="dxa"/>
          </w:tcPr>
          <w:p w14:paraId="1F981F22"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Ključne riječi</w:t>
            </w:r>
          </w:p>
        </w:tc>
        <w:tc>
          <w:tcPr>
            <w:tcW w:w="6122" w:type="dxa"/>
          </w:tcPr>
          <w:p w14:paraId="5D56365F" w14:textId="051DACC2" w:rsidR="350D42B1" w:rsidRDefault="4DBFF6DF" w:rsidP="4DCF16DC">
            <w:pPr>
              <w:spacing w:after="0" w:line="240" w:lineRule="auto"/>
              <w:rPr>
                <w:rFonts w:eastAsiaTheme="minorEastAsia"/>
                <w:sz w:val="18"/>
                <w:szCs w:val="18"/>
              </w:rPr>
            </w:pPr>
            <w:r w:rsidRPr="4DCF16DC">
              <w:rPr>
                <w:rFonts w:eastAsiaTheme="minorEastAsia"/>
                <w:sz w:val="18"/>
                <w:szCs w:val="18"/>
              </w:rPr>
              <w:t xml:space="preserve">adolescencija, mentalno zdravlje, tjelesna aktivnost, tjelesna pismenost, </w:t>
            </w:r>
            <w:r w:rsidR="72AFB54C" w:rsidRPr="4DCF16DC">
              <w:rPr>
                <w:rFonts w:eastAsiaTheme="minorEastAsia"/>
                <w:sz w:val="18"/>
                <w:szCs w:val="18"/>
              </w:rPr>
              <w:t>rezilijentnost</w:t>
            </w:r>
          </w:p>
        </w:tc>
      </w:tr>
      <w:tr w:rsidR="0752BA49" w14:paraId="19913183" w14:textId="77777777" w:rsidTr="4DCF16DC">
        <w:trPr>
          <w:trHeight w:val="300"/>
        </w:trPr>
        <w:tc>
          <w:tcPr>
            <w:tcW w:w="2940" w:type="dxa"/>
          </w:tcPr>
          <w:p w14:paraId="2E922352"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sz w:val="18"/>
                <w:szCs w:val="18"/>
                <w:lang w:eastAsia="hr-HR"/>
              </w:rPr>
              <w:t>Kratki opis</w:t>
            </w:r>
          </w:p>
        </w:tc>
        <w:tc>
          <w:tcPr>
            <w:tcW w:w="6122" w:type="dxa"/>
          </w:tcPr>
          <w:p w14:paraId="7DCC833D" w14:textId="26486FBA" w:rsidR="0D0BA75A" w:rsidRDefault="381F6C09" w:rsidP="4DCF16DC">
            <w:pPr>
              <w:spacing w:after="0" w:line="240" w:lineRule="auto"/>
              <w:rPr>
                <w:rFonts w:eastAsiaTheme="minorEastAsia"/>
                <w:sz w:val="18"/>
                <w:szCs w:val="18"/>
                <w:lang w:eastAsia="hr-HR"/>
              </w:rPr>
            </w:pPr>
            <w:r w:rsidRPr="4DCF16DC">
              <w:rPr>
                <w:rFonts w:eastAsiaTheme="minorEastAsia"/>
                <w:sz w:val="18"/>
                <w:szCs w:val="18"/>
                <w:lang w:eastAsia="hr-HR"/>
              </w:rPr>
              <w:t>Ova studija imala je za cilj utvrditi djeluje li otpornost kao medijator u odnosu između tjelesne pismenosti i mentalnog zdravlja kod adolescenata različitih razina tjelesne aktivnosti (moderirajuća varijabla), uz kontrolu spola i dobi. Ispitivan je odnos između tjelesne pismenosti, tjelesne aktivnosti, otpornosti i mentalnog zdravlja adolescenata, a rezultati su pokazali da su tjelesna pismenost, otpornost i mentalno zdravlje značajno povezani, čak i nakon prilagodbe za spol i dob. Nadalje, utvrđeno je da je tjelesna aktivnost značajno i pozitivno povezana s tjelesnom pismenošću i otpornošću, ali nije značajno povezana s mentalnim zdravljem.</w:t>
            </w:r>
          </w:p>
        </w:tc>
      </w:tr>
      <w:tr w:rsidR="0752BA49" w14:paraId="0246471C" w14:textId="77777777" w:rsidTr="4DCF16DC">
        <w:trPr>
          <w:trHeight w:val="300"/>
        </w:trPr>
        <w:tc>
          <w:tcPr>
            <w:tcW w:w="2940" w:type="dxa"/>
          </w:tcPr>
          <w:p w14:paraId="5466CEBC"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Ključni nalazi</w:t>
            </w:r>
          </w:p>
          <w:p w14:paraId="0AC91048"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122" w:type="dxa"/>
          </w:tcPr>
          <w:p w14:paraId="33E61CDB" w14:textId="6E02A48A" w:rsidR="2B42F09B" w:rsidRDefault="2F85236E"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Ovo je istraživanje prvo koje je ispitalo odnos između tjelesne pismenosti, tjelesne aktivnosti, otpornosti i mentalnog zdravlja. Rezultati su potvrdili da otpornost posreduje odnos između mentalnog zdravlja i tjelesne pismenosti kod adolescenata, dok tjelesna aktivnost moderira odnos između tjelesne pismenosti i otpornosti u medijacijskom modelu. Tjelesna pismenost bila je učinkovitija u poticanju otpornosti kod adolescenata s višom razinom tjelesne aktivnosti. Međutim, u ovom istraživanju odnos između tjelesne aktivnosti i mentalnog zdravlja adolescenata nije bio značajan nakon kontrole spola i razreda, te tjelesna aktivnost nije moderirala odnos između tjelesne pismenosti i otpornosti u medijacijskom modelu. </w:t>
            </w:r>
          </w:p>
        </w:tc>
      </w:tr>
      <w:tr w:rsidR="0752BA49" w14:paraId="37691BB8" w14:textId="77777777" w:rsidTr="4DCF16DC">
        <w:trPr>
          <w:trHeight w:val="300"/>
        </w:trPr>
        <w:tc>
          <w:tcPr>
            <w:tcW w:w="2940" w:type="dxa"/>
          </w:tcPr>
          <w:p w14:paraId="20A8185B"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Kako može koristiti na MentiFit projektu?</w:t>
            </w:r>
            <w:r w:rsidRPr="4DCF16DC">
              <w:rPr>
                <w:rFonts w:eastAsiaTheme="minorEastAsia"/>
                <w:b/>
                <w:bCs/>
                <w:color w:val="000000" w:themeColor="text1"/>
                <w:sz w:val="18"/>
                <w:szCs w:val="18"/>
                <w:lang w:eastAsia="hr-HR"/>
              </w:rPr>
              <w:t> </w:t>
            </w:r>
          </w:p>
          <w:p w14:paraId="13494F64"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eastAsia="hr-HR"/>
              </w:rPr>
              <w:t> </w:t>
            </w:r>
          </w:p>
        </w:tc>
        <w:tc>
          <w:tcPr>
            <w:tcW w:w="6122" w:type="dxa"/>
          </w:tcPr>
          <w:p w14:paraId="1D2EB6F7" w14:textId="650E78AB" w:rsidR="662C1185" w:rsidRDefault="1246870B"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Moderirajući učinak tjelesne aktivnosti na odnos između tjelesne pismenosti i mentalnog zdravlja nije dosegnuo razinu statističke značajnosti. Jedno od mogućih objašnjenja jest da je </w:t>
            </w:r>
            <w:r w:rsidRPr="4DCF16DC">
              <w:rPr>
                <w:rFonts w:eastAsiaTheme="minorEastAsia"/>
                <w:b/>
                <w:bCs/>
                <w:sz w:val="18"/>
                <w:szCs w:val="18"/>
                <w:lang w:eastAsia="hr-HR"/>
              </w:rPr>
              <w:t>odnos između tjelesne pismenosti i mentalnog zdravlja neizravan te pod utjecajem drugih čimbenika povezanih s tjelesnom pismenošću, poput psihološke otpornosti,</w:t>
            </w:r>
            <w:r w:rsidRPr="4DCF16DC">
              <w:rPr>
                <w:rFonts w:eastAsiaTheme="minorEastAsia"/>
                <w:sz w:val="18"/>
                <w:szCs w:val="18"/>
                <w:lang w:eastAsia="hr-HR"/>
              </w:rPr>
              <w:t xml:space="preserve"> što može umanjiti izravni regulacijski učinak tjelesne aktivnosti. Dodatno, pokazalo se da tjelesna aktivnost može imati ulogu posredničke varijable u odnosima između mentalnog zdravlja, tjelesne pismenosti i opće dobrobiti. S druge strane, utvrđeno je da</w:t>
            </w:r>
            <w:r w:rsidRPr="4DCF16DC">
              <w:rPr>
                <w:rFonts w:eastAsiaTheme="minorEastAsia"/>
                <w:b/>
                <w:bCs/>
                <w:sz w:val="18"/>
                <w:szCs w:val="18"/>
                <w:lang w:eastAsia="hr-HR"/>
              </w:rPr>
              <w:t xml:space="preserve"> tjelesna aktivnost umjerenog do visokog intenziteta može djelomično utjecati na odnos između tjelesne pismenosti i tjelesnog zdravlja, ali ne i na odnos između tjelesne pismenosti i mentalnog zdravlja.</w:t>
            </w:r>
            <w:r w:rsidRPr="4DCF16DC">
              <w:rPr>
                <w:rFonts w:eastAsiaTheme="minorEastAsia"/>
                <w:sz w:val="18"/>
                <w:szCs w:val="18"/>
                <w:lang w:eastAsia="hr-HR"/>
              </w:rPr>
              <w:t xml:space="preserve"> Zaključno, potrebna su daljnja istraživanja kako bi se jasnije razjasnili složeni odnosi između tjelesne pismenosti, tjelesne aktivnosti i mentalnog zdravlja.</w:t>
            </w:r>
          </w:p>
        </w:tc>
      </w:tr>
      <w:tr w:rsidR="0752BA49" w14:paraId="13972CA3" w14:textId="77777777" w:rsidTr="4DCF16DC">
        <w:trPr>
          <w:trHeight w:val="300"/>
        </w:trPr>
        <w:tc>
          <w:tcPr>
            <w:tcW w:w="2940" w:type="dxa"/>
          </w:tcPr>
          <w:p w14:paraId="1A4E946F" w14:textId="77777777" w:rsidR="0752BA49" w:rsidRDefault="1BFBD78B" w:rsidP="4DCF16DC">
            <w:pPr>
              <w:spacing w:after="0" w:line="240" w:lineRule="auto"/>
              <w:rPr>
                <w:rFonts w:eastAsiaTheme="minorEastAsia"/>
                <w:b/>
                <w:bCs/>
                <w:sz w:val="18"/>
                <w:szCs w:val="18"/>
                <w:lang w:eastAsia="hr-HR"/>
              </w:rPr>
            </w:pPr>
            <w:r w:rsidRPr="4DCF16DC">
              <w:rPr>
                <w:rFonts w:eastAsiaTheme="minorEastAsia"/>
                <w:b/>
                <w:bCs/>
                <w:color w:val="000000" w:themeColor="text1"/>
                <w:sz w:val="18"/>
                <w:szCs w:val="18"/>
                <w:lang w:val="en-GB" w:eastAsia="hr-HR"/>
              </w:rPr>
              <w:t>Komentar, pitanje… </w:t>
            </w:r>
            <w:r w:rsidRPr="4DCF16DC">
              <w:rPr>
                <w:rFonts w:eastAsiaTheme="minorEastAsia"/>
                <w:b/>
                <w:bCs/>
                <w:color w:val="000000" w:themeColor="text1"/>
                <w:sz w:val="18"/>
                <w:szCs w:val="18"/>
                <w:lang w:eastAsia="hr-HR"/>
              </w:rPr>
              <w:t> </w:t>
            </w:r>
          </w:p>
        </w:tc>
        <w:tc>
          <w:tcPr>
            <w:tcW w:w="6122" w:type="dxa"/>
          </w:tcPr>
          <w:p w14:paraId="3873F79A" w14:textId="19223EAA" w:rsidR="6276D40F" w:rsidRDefault="05417487" w:rsidP="4DCF16DC">
            <w:pPr>
              <w:spacing w:after="0" w:line="240" w:lineRule="auto"/>
              <w:rPr>
                <w:rFonts w:eastAsiaTheme="minorEastAsia"/>
                <w:sz w:val="18"/>
                <w:szCs w:val="18"/>
                <w:lang w:eastAsia="hr-HR"/>
              </w:rPr>
            </w:pPr>
            <w:r w:rsidRPr="4DCF16DC">
              <w:rPr>
                <w:rFonts w:eastAsiaTheme="minorEastAsia"/>
                <w:sz w:val="18"/>
                <w:szCs w:val="18"/>
                <w:lang w:eastAsia="hr-HR"/>
              </w:rPr>
              <w:t xml:space="preserve">U projektu svakako pratiti psihološku otpornost adolescenata </w:t>
            </w:r>
          </w:p>
          <w:p w14:paraId="2EE72259" w14:textId="3B1E5BD9" w:rsidR="0752BA49" w:rsidRDefault="0752BA49" w:rsidP="4DCF16DC">
            <w:pPr>
              <w:spacing w:after="0" w:line="240" w:lineRule="auto"/>
              <w:rPr>
                <w:rFonts w:eastAsiaTheme="minorEastAsia"/>
                <w:sz w:val="18"/>
                <w:szCs w:val="18"/>
                <w:lang w:eastAsia="hr-HR"/>
              </w:rPr>
            </w:pPr>
          </w:p>
        </w:tc>
      </w:tr>
    </w:tbl>
    <w:p w14:paraId="59E7DEF6" w14:textId="041A221A" w:rsidR="0752BA49" w:rsidRDefault="0752BA49"/>
    <w:p w14:paraId="2AF40334" w14:textId="5D8590DB" w:rsidR="0752BA49" w:rsidRDefault="0752BA49"/>
    <w:tbl>
      <w:tblPr>
        <w:tblW w:w="9071"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63"/>
        <w:gridCol w:w="6108"/>
      </w:tblGrid>
      <w:tr w:rsidR="0752BA49" w14:paraId="6C8049B5" w14:textId="77777777" w:rsidTr="4DCF16DC">
        <w:trPr>
          <w:trHeight w:val="1230"/>
          <w:jc w:val="center"/>
        </w:trPr>
        <w:tc>
          <w:tcPr>
            <w:tcW w:w="2963" w:type="dxa"/>
            <w:tcBorders>
              <w:top w:val="single" w:sz="8" w:space="0" w:color="auto"/>
              <w:left w:val="single" w:sz="8" w:space="0" w:color="auto"/>
              <w:bottom w:val="single" w:sz="8" w:space="0" w:color="auto"/>
              <w:right w:val="single" w:sz="8" w:space="0" w:color="auto"/>
            </w:tcBorders>
          </w:tcPr>
          <w:p w14:paraId="6E87D22C" w14:textId="55B1BE90" w:rsidR="33D10D42" w:rsidRDefault="33D10D42" w:rsidP="4DCF16DC">
            <w:pPr>
              <w:spacing w:line="276" w:lineRule="auto"/>
              <w:rPr>
                <w:rFonts w:eastAsiaTheme="minorEastAsia"/>
                <w:sz w:val="18"/>
                <w:szCs w:val="18"/>
              </w:rPr>
            </w:pPr>
            <w:r w:rsidRPr="4DCF16DC">
              <w:rPr>
                <w:rFonts w:eastAsiaTheme="minorEastAsia"/>
                <w:b/>
                <w:bCs/>
                <w:sz w:val="18"/>
                <w:szCs w:val="18"/>
                <w:lang w:val="hr"/>
              </w:rPr>
              <w:t>Referenca</w:t>
            </w:r>
            <w:r w:rsidR="1BFBD78B" w:rsidRPr="4DCF16DC">
              <w:rPr>
                <w:rFonts w:eastAsiaTheme="minorEastAsia"/>
                <w:b/>
                <w:bCs/>
                <w:sz w:val="18"/>
                <w:szCs w:val="18"/>
                <w:lang w:val="hr"/>
              </w:rPr>
              <w:t> </w:t>
            </w:r>
            <w:r w:rsidR="1BFBD78B"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4C569BE3" w14:textId="5911CCFA" w:rsidR="0752BA49" w:rsidRDefault="4F4F17B4" w:rsidP="4DCF16DC">
            <w:pPr>
              <w:spacing w:line="276" w:lineRule="auto"/>
              <w:rPr>
                <w:rFonts w:eastAsiaTheme="minorEastAsia"/>
                <w:sz w:val="18"/>
                <w:szCs w:val="18"/>
              </w:rPr>
            </w:pPr>
            <w:r w:rsidRPr="4DCF16DC">
              <w:rPr>
                <w:rFonts w:eastAsiaTheme="minorEastAsia"/>
                <w:sz w:val="18"/>
                <w:szCs w:val="18"/>
              </w:rPr>
              <w:t xml:space="preserve">Ho, F. K., Louie, L. H., Chow, C. B., Wong, W. H., &amp; Ip, P. (2015). Physical activity improves mental health through resilience in Hong Kong Chinese adolescents. </w:t>
            </w:r>
            <w:r w:rsidRPr="4DCF16DC">
              <w:rPr>
                <w:rFonts w:eastAsiaTheme="minorEastAsia"/>
                <w:i/>
                <w:iCs/>
                <w:sz w:val="18"/>
                <w:szCs w:val="18"/>
              </w:rPr>
              <w:t>BMC Pediatrics, 15</w:t>
            </w:r>
            <w:r w:rsidRPr="4DCF16DC">
              <w:rPr>
                <w:rFonts w:eastAsiaTheme="minorEastAsia"/>
                <w:sz w:val="18"/>
                <w:szCs w:val="18"/>
              </w:rPr>
              <w:t xml:space="preserve">, 48. </w:t>
            </w:r>
            <w:hyperlink r:id="rId41">
              <w:r w:rsidRPr="4DCF16DC">
                <w:rPr>
                  <w:rStyle w:val="Hiperveza"/>
                  <w:rFonts w:eastAsiaTheme="minorEastAsia"/>
                  <w:sz w:val="18"/>
                  <w:szCs w:val="18"/>
                </w:rPr>
                <w:t>https://doi.org/10.1186/s12887-015-0365-0</w:t>
              </w:r>
            </w:hyperlink>
          </w:p>
        </w:tc>
      </w:tr>
      <w:tr w:rsidR="0752BA49" w14:paraId="1840B5A5"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0DD61EA2" w14:textId="689CA601" w:rsidR="0752BA49" w:rsidRDefault="1BFBD78B" w:rsidP="4DCF16DC">
            <w:pPr>
              <w:spacing w:line="276" w:lineRule="auto"/>
              <w:rPr>
                <w:rFonts w:eastAsiaTheme="minorEastAsia"/>
                <w:sz w:val="18"/>
                <w:szCs w:val="18"/>
              </w:rPr>
            </w:pPr>
            <w:r w:rsidRPr="4DCF16DC">
              <w:rPr>
                <w:rFonts w:eastAsiaTheme="minorEastAsia"/>
                <w:b/>
                <w:bCs/>
                <w:sz w:val="18"/>
                <w:szCs w:val="18"/>
              </w:rPr>
              <w:t>Link</w:t>
            </w: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658FC3C2" w14:textId="3B1A5553" w:rsidR="0752BA49" w:rsidRDefault="000D719D" w:rsidP="4DCF16DC">
            <w:pPr>
              <w:spacing w:line="276" w:lineRule="auto"/>
              <w:rPr>
                <w:rFonts w:eastAsiaTheme="minorEastAsia"/>
                <w:sz w:val="18"/>
                <w:szCs w:val="18"/>
              </w:rPr>
            </w:pPr>
            <w:hyperlink r:id="rId42">
              <w:r w:rsidR="1BFBD78B" w:rsidRPr="4DCF16DC">
                <w:rPr>
                  <w:rStyle w:val="Hiperveza"/>
                  <w:rFonts w:eastAsiaTheme="minorEastAsia"/>
                  <w:color w:val="467886"/>
                  <w:sz w:val="18"/>
                  <w:szCs w:val="18"/>
                </w:rPr>
                <w:t>https://link.springer.com/content/pdf/10.1186/s12887-015-0365-0.pdf</w:t>
              </w:r>
            </w:hyperlink>
            <w:r w:rsidR="1BFBD78B" w:rsidRPr="4DCF16DC">
              <w:rPr>
                <w:rFonts w:eastAsiaTheme="minorEastAsia"/>
                <w:sz w:val="18"/>
                <w:szCs w:val="18"/>
              </w:rPr>
              <w:t xml:space="preserve"> </w:t>
            </w:r>
          </w:p>
        </w:tc>
      </w:tr>
      <w:tr w:rsidR="0752BA49" w14:paraId="27E627A6"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4CF0DD4A" w14:textId="05295A75" w:rsidR="0752BA49" w:rsidRDefault="1BFBD78B" w:rsidP="4DCF16DC">
            <w:pPr>
              <w:spacing w:line="276" w:lineRule="auto"/>
              <w:rPr>
                <w:rFonts w:eastAsiaTheme="minorEastAsia"/>
                <w:sz w:val="18"/>
                <w:szCs w:val="18"/>
              </w:rPr>
            </w:pPr>
            <w:r w:rsidRPr="4DCF16DC">
              <w:rPr>
                <w:rFonts w:eastAsiaTheme="minorEastAsia"/>
                <w:b/>
                <w:bCs/>
                <w:sz w:val="18"/>
                <w:szCs w:val="18"/>
              </w:rPr>
              <w:t>Područje-tema</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4C8BB4BF" w14:textId="1EC89B17" w:rsidR="0752BA49" w:rsidRDefault="1BFBD78B" w:rsidP="4DCF16DC">
            <w:pPr>
              <w:spacing w:line="276" w:lineRule="auto"/>
              <w:rPr>
                <w:rFonts w:eastAsiaTheme="minorEastAsia"/>
                <w:sz w:val="18"/>
                <w:szCs w:val="18"/>
              </w:rPr>
            </w:pPr>
            <w:r w:rsidRPr="4DCF16DC">
              <w:rPr>
                <w:rFonts w:eastAsiaTheme="minorEastAsia"/>
                <w:sz w:val="18"/>
                <w:szCs w:val="18"/>
                <w:lang w:val="hr"/>
              </w:rPr>
              <w:t>Tjelesna aktivnost i mentalno zdravlje s naglaskom na psihološku otpornost</w:t>
            </w:r>
            <w:r w:rsidRPr="4DCF16DC">
              <w:rPr>
                <w:rFonts w:eastAsiaTheme="minorEastAsia"/>
                <w:sz w:val="18"/>
                <w:szCs w:val="18"/>
              </w:rPr>
              <w:t xml:space="preserve"> </w:t>
            </w:r>
          </w:p>
        </w:tc>
      </w:tr>
      <w:tr w:rsidR="0752BA49" w14:paraId="54DBB3D7"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46BB981E" w14:textId="3CEAAFD0" w:rsidR="0752BA49" w:rsidRDefault="1BFBD78B" w:rsidP="4DCF16DC">
            <w:pPr>
              <w:spacing w:line="276" w:lineRule="auto"/>
              <w:rPr>
                <w:rFonts w:eastAsiaTheme="minorEastAsia"/>
                <w:sz w:val="18"/>
                <w:szCs w:val="18"/>
              </w:rPr>
            </w:pPr>
            <w:r w:rsidRPr="4DCF16DC">
              <w:rPr>
                <w:rFonts w:eastAsiaTheme="minorEastAsia"/>
                <w:b/>
                <w:bCs/>
                <w:sz w:val="18"/>
                <w:szCs w:val="18"/>
              </w:rPr>
              <w:t>Pripremila/pripremio</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4878B0C3" w14:textId="4F3DF17C" w:rsidR="0752BA49" w:rsidRDefault="1BFBD78B" w:rsidP="4DCF16DC">
            <w:pPr>
              <w:spacing w:line="276" w:lineRule="auto"/>
              <w:rPr>
                <w:rFonts w:eastAsiaTheme="minorEastAsia"/>
                <w:sz w:val="18"/>
                <w:szCs w:val="18"/>
              </w:rPr>
            </w:pPr>
            <w:r w:rsidRPr="4DCF16DC">
              <w:rPr>
                <w:rFonts w:eastAsiaTheme="minorEastAsia"/>
                <w:sz w:val="18"/>
                <w:szCs w:val="18"/>
                <w:lang w:val="hr"/>
              </w:rPr>
              <w:t>Tatjana Trošt</w:t>
            </w:r>
            <w:r w:rsidRPr="4DCF16DC">
              <w:rPr>
                <w:rFonts w:eastAsiaTheme="minorEastAsia"/>
                <w:sz w:val="18"/>
                <w:szCs w:val="18"/>
              </w:rPr>
              <w:t xml:space="preserve"> </w:t>
            </w:r>
          </w:p>
        </w:tc>
      </w:tr>
      <w:tr w:rsidR="0752BA49" w14:paraId="36A4BA8B"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41514EE9" w14:textId="603C0916" w:rsidR="0752BA49" w:rsidRDefault="1BFBD78B" w:rsidP="4DCF16DC">
            <w:pPr>
              <w:spacing w:line="276" w:lineRule="auto"/>
              <w:rPr>
                <w:rFonts w:eastAsiaTheme="minorEastAsia"/>
                <w:sz w:val="18"/>
                <w:szCs w:val="18"/>
              </w:rPr>
            </w:pPr>
            <w:r w:rsidRPr="4DCF16DC">
              <w:rPr>
                <w:rFonts w:eastAsiaTheme="minorEastAsia"/>
                <w:b/>
                <w:bCs/>
                <w:sz w:val="18"/>
                <w:szCs w:val="18"/>
              </w:rPr>
              <w:t>Categorisation</w:t>
            </w:r>
            <w:r w:rsidRPr="4DCF16DC">
              <w:rPr>
                <w:rFonts w:eastAsiaTheme="minorEastAsia"/>
                <w:b/>
                <w:bCs/>
                <w:sz w:val="18"/>
                <w:szCs w:val="18"/>
                <w:lang w:val="hr"/>
              </w:rPr>
              <w:t> </w:t>
            </w:r>
            <w:r w:rsidRPr="4DCF16DC">
              <w:rPr>
                <w:rFonts w:eastAsiaTheme="minorEastAsia"/>
                <w:sz w:val="18"/>
                <w:szCs w:val="18"/>
              </w:rPr>
              <w:t xml:space="preserve"> </w:t>
            </w:r>
          </w:p>
          <w:p w14:paraId="639B087B" w14:textId="2B56D8A0" w:rsidR="0752BA49" w:rsidRDefault="1BFBD78B" w:rsidP="4DCF16DC">
            <w:pPr>
              <w:spacing w:line="276" w:lineRule="auto"/>
              <w:rPr>
                <w:rFonts w:eastAsiaTheme="minorEastAsia"/>
                <w:sz w:val="18"/>
                <w:szCs w:val="18"/>
              </w:rPr>
            </w:pPr>
            <w:r w:rsidRPr="4DCF16DC">
              <w:rPr>
                <w:rFonts w:eastAsiaTheme="minorEastAsia"/>
                <w:sz w:val="18"/>
                <w:szCs w:val="18"/>
              </w:rPr>
              <w:t xml:space="preserve">1 – esencijalan </w:t>
            </w:r>
          </w:p>
          <w:p w14:paraId="2130FAC1" w14:textId="62643487" w:rsidR="0752BA49" w:rsidRDefault="1BFBD78B" w:rsidP="4DCF16DC">
            <w:pPr>
              <w:spacing w:line="276" w:lineRule="auto"/>
              <w:rPr>
                <w:rFonts w:eastAsiaTheme="minorEastAsia"/>
                <w:sz w:val="18"/>
                <w:szCs w:val="18"/>
              </w:rPr>
            </w:pPr>
            <w:r w:rsidRPr="4DCF16DC">
              <w:rPr>
                <w:rFonts w:eastAsiaTheme="minorEastAsia"/>
                <w:sz w:val="18"/>
                <w:szCs w:val="18"/>
              </w:rPr>
              <w:t xml:space="preserve">2 – koristan </w:t>
            </w:r>
          </w:p>
          <w:p w14:paraId="70C30060" w14:textId="05AD014F" w:rsidR="0752BA49" w:rsidRDefault="1BFBD78B" w:rsidP="4DCF16DC">
            <w:pPr>
              <w:spacing w:line="276" w:lineRule="auto"/>
              <w:rPr>
                <w:rFonts w:eastAsiaTheme="minorEastAsia"/>
                <w:sz w:val="18"/>
                <w:szCs w:val="18"/>
              </w:rPr>
            </w:pPr>
            <w:r w:rsidRPr="4DCF16DC">
              <w:rPr>
                <w:rFonts w:eastAsiaTheme="minorEastAsia"/>
                <w:sz w:val="18"/>
                <w:szCs w:val="18"/>
              </w:rPr>
              <w:t xml:space="preserve">3 – potencijalno koristan </w:t>
            </w:r>
          </w:p>
          <w:p w14:paraId="182C0626" w14:textId="5947BF47" w:rsidR="0752BA49" w:rsidRDefault="1BFBD78B" w:rsidP="4DCF16DC">
            <w:pPr>
              <w:spacing w:line="276" w:lineRule="auto"/>
              <w:rPr>
                <w:rFonts w:eastAsiaTheme="minorEastAsia"/>
                <w:sz w:val="18"/>
                <w:szCs w:val="18"/>
              </w:rPr>
            </w:pPr>
            <w:r w:rsidRPr="4DCF16DC">
              <w:rPr>
                <w:rFonts w:eastAsiaTheme="minorEastAsia"/>
                <w:sz w:val="18"/>
                <w:szCs w:val="18"/>
              </w:rPr>
              <w:t>4 – ima zanimljiv dio</w:t>
            </w: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10C16171" w14:textId="4B078484" w:rsidR="0752BA49" w:rsidRDefault="1BFBD78B" w:rsidP="4DCF16DC">
            <w:pPr>
              <w:spacing w:line="276" w:lineRule="auto"/>
              <w:rPr>
                <w:rFonts w:eastAsiaTheme="minorEastAsia"/>
                <w:sz w:val="18"/>
                <w:szCs w:val="18"/>
              </w:rPr>
            </w:pPr>
            <w:r w:rsidRPr="4DCF16DC">
              <w:rPr>
                <w:rFonts w:eastAsiaTheme="minorEastAsia"/>
                <w:sz w:val="18"/>
                <w:szCs w:val="18"/>
              </w:rPr>
              <w:t xml:space="preserve"> </w:t>
            </w:r>
          </w:p>
          <w:p w14:paraId="4B3B9768" w14:textId="1E7E143B" w:rsidR="0752BA49" w:rsidRDefault="1BFBD78B" w:rsidP="4DCF16DC">
            <w:pPr>
              <w:spacing w:line="276" w:lineRule="auto"/>
              <w:rPr>
                <w:rFonts w:eastAsiaTheme="minorEastAsia"/>
                <w:sz w:val="18"/>
                <w:szCs w:val="18"/>
              </w:rPr>
            </w:pPr>
            <w:r w:rsidRPr="4DCF16DC">
              <w:rPr>
                <w:rFonts w:eastAsiaTheme="minorEastAsia"/>
                <w:b/>
                <w:bCs/>
                <w:sz w:val="18"/>
                <w:szCs w:val="18"/>
                <w:lang w:val="hr"/>
              </w:rPr>
              <w:t xml:space="preserve">  2</w:t>
            </w:r>
            <w:r w:rsidRPr="4DCF16DC">
              <w:rPr>
                <w:rFonts w:eastAsiaTheme="minorEastAsia"/>
                <w:sz w:val="18"/>
                <w:szCs w:val="18"/>
              </w:rPr>
              <w:t xml:space="preserve"> </w:t>
            </w:r>
          </w:p>
        </w:tc>
      </w:tr>
      <w:tr w:rsidR="0752BA49" w14:paraId="3DC8DDBF"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5BEA8E72" w14:textId="6391706D" w:rsidR="0752BA49" w:rsidRDefault="1BFBD78B" w:rsidP="4DCF16DC">
            <w:pPr>
              <w:spacing w:line="276" w:lineRule="auto"/>
              <w:rPr>
                <w:rFonts w:eastAsiaTheme="minorEastAsia"/>
                <w:sz w:val="18"/>
                <w:szCs w:val="18"/>
              </w:rPr>
            </w:pPr>
            <w:r w:rsidRPr="4DCF16DC">
              <w:rPr>
                <w:rFonts w:eastAsiaTheme="minorEastAsia"/>
                <w:b/>
                <w:bCs/>
                <w:sz w:val="18"/>
                <w:szCs w:val="18"/>
                <w:lang w:val="hr"/>
              </w:rPr>
              <w:t>Sažetak (kopija)</w:t>
            </w:r>
            <w:r w:rsidRPr="4DCF16DC">
              <w:rPr>
                <w:rFonts w:eastAsiaTheme="minorEastAsia"/>
                <w:sz w:val="18"/>
                <w:szCs w:val="18"/>
              </w:rPr>
              <w:t xml:space="preserve"> </w:t>
            </w:r>
          </w:p>
          <w:p w14:paraId="2EBFD5A5" w14:textId="10AF8B6D"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5D7B66A9" w14:textId="6F478C50"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Background: Adolescent mental health problems are global public health concern. Primary prevention through physical activity (PA) has been suggested as a potential approach to tackling this problem. Studies in Western countries have provided some evidence of a relationship between PA and adolescent mental health, but the evidence in China is not sufficient. Furthermore, the mechanism behind this relationship has not been empirically tested. The present study aimed at testing the association between PA and mental well-being of Chinese adolescents and to investigate whether a psychological (self-efficacy and resilience) and social (school and family connectedness) mediation model is valid to explain such a relationship.</w:t>
            </w:r>
          </w:p>
          <w:p w14:paraId="643AD10E" w14:textId="2D2F7075"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Methods: A total of 775 Chinese students in Grades 7 and 8 were recruited in this cross-sectional study. The participants were given questionnaires to assess their PA level, mental well-being, and the potential mediators. Path models were used to analyse the association between PA and mental well-being, and the roles of potential mediators.</w:t>
            </w:r>
          </w:p>
          <w:p w14:paraId="5539435D" w14:textId="5F64412C"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Results: The PA level was significantly correlated with the adolescent's mental well-being (r = 0.66, p &lt; 0.001), self-efficacy (r = 0.21, p &lt; 0.001), and resilience (r = 0.25, p &lt; 0.001), but not with school connectedness (r = 0.05, p = 0.15) or family connectedness (r = 0.06, p = 0.13). After adjusting for potential confounders in the path model, the PA level was significantly associated with mental well-being (b = 0.52, p &lt; 0.001), and resilience was the only significant mediator (b = 0.31, p &lt; 0.001), which contributed to 60% of this relationship.</w:t>
            </w:r>
          </w:p>
          <w:p w14:paraId="70BB2FAC" w14:textId="337C09F5"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Conclusions: There was a significant positive association between the PA level and mental well-being of Chinese adolescents. Resilience mediated the majority of this relationship. Promoting physical activities that build up resilience could be a promising way to improve adolescent mental health.</w:t>
            </w:r>
          </w:p>
        </w:tc>
      </w:tr>
      <w:tr w:rsidR="0752BA49" w14:paraId="65BCC8DD"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7C6039D9" w14:textId="26B4CE88" w:rsidR="0752BA49" w:rsidRDefault="1BFBD78B" w:rsidP="4DCF16DC">
            <w:pPr>
              <w:spacing w:line="276" w:lineRule="auto"/>
              <w:rPr>
                <w:rFonts w:eastAsiaTheme="minorEastAsia"/>
                <w:sz w:val="18"/>
                <w:szCs w:val="18"/>
              </w:rPr>
            </w:pPr>
            <w:r w:rsidRPr="4DCF16DC">
              <w:rPr>
                <w:rFonts w:eastAsiaTheme="minorEastAsia"/>
                <w:b/>
                <w:bCs/>
                <w:sz w:val="18"/>
                <w:szCs w:val="18"/>
              </w:rPr>
              <w:t>Ključne riječi</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792251A6" w14:textId="7B5089D2"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 xml:space="preserve">Mentalno zdravlje, tjelesna aktivnost, psihološka otpornost </w:t>
            </w:r>
          </w:p>
        </w:tc>
      </w:tr>
      <w:tr w:rsidR="0752BA49" w14:paraId="02C7BFB6"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4F92CEBE" w14:textId="492E1C6F" w:rsidR="0752BA49" w:rsidRDefault="1BFBD78B" w:rsidP="4DCF16DC">
            <w:pPr>
              <w:spacing w:line="276" w:lineRule="auto"/>
              <w:rPr>
                <w:rFonts w:eastAsiaTheme="minorEastAsia"/>
                <w:sz w:val="18"/>
                <w:szCs w:val="18"/>
              </w:rPr>
            </w:pPr>
            <w:r w:rsidRPr="4DCF16DC">
              <w:rPr>
                <w:rFonts w:eastAsiaTheme="minorEastAsia"/>
                <w:b/>
                <w:bCs/>
                <w:sz w:val="18"/>
                <w:szCs w:val="18"/>
                <w:lang w:val="hr"/>
              </w:rPr>
              <w:t>Kratki opis</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03205CAE" w14:textId="6D6917CA"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Rad istražuje povezanost tjelesne aktivnosti i mentalnog zdravlja kineskih adolescenata te ispituje mogući mehanizam tog odnosa. U  presječnoj studiji sudjelovalo je 775 učenika 7. i 8. razreda koji su ispunjavali upitnike o razini tjelesne aktivnosti, mentalnom zdravlju te o psihološkim i socijalnim faktorima (samoučinkovitost, otpornost, povezanost sa školom i obitelji). Rezultati su pokazali značajnu pozitivnu povezanost između tjelesne aktivnosti i mentalnog zdravlja, pri čemu je otpornost bila jedini značajan medijator, objašnjavajući oko 60% tog učinka. Povezanost sa školom i obitelji nije bila značajna. Zaključak je da promicanje tjelesnih aktivnosti koje jačaju otpornost može biti učinkovita strategija za poboljšanje mentalnog zdravlja adolescenata.</w:t>
            </w:r>
          </w:p>
        </w:tc>
      </w:tr>
      <w:tr w:rsidR="0752BA49" w14:paraId="1E4EAAF3"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735E9762" w14:textId="09070471" w:rsidR="0752BA49" w:rsidRDefault="1BFBD78B" w:rsidP="4DCF16DC">
            <w:pPr>
              <w:spacing w:line="276" w:lineRule="auto"/>
              <w:rPr>
                <w:rFonts w:eastAsiaTheme="minorEastAsia"/>
                <w:sz w:val="18"/>
                <w:szCs w:val="18"/>
              </w:rPr>
            </w:pPr>
            <w:r w:rsidRPr="4DCF16DC">
              <w:rPr>
                <w:rFonts w:eastAsiaTheme="minorEastAsia"/>
                <w:b/>
                <w:bCs/>
                <w:sz w:val="18"/>
                <w:szCs w:val="18"/>
              </w:rPr>
              <w:t>Ključni nalazi</w:t>
            </w:r>
            <w:r w:rsidRPr="4DCF16DC">
              <w:rPr>
                <w:rFonts w:eastAsiaTheme="minorEastAsia"/>
                <w:sz w:val="18"/>
                <w:szCs w:val="18"/>
              </w:rPr>
              <w:t xml:space="preserve"> </w:t>
            </w:r>
          </w:p>
          <w:p w14:paraId="5DA9B8E0" w14:textId="1B188ECB"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315E7A55" w14:textId="0696B557"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Rezultati podržavaju psihološku, ali ne i socijalnu hipotezu u objašnjenju odnosa između tjelesne aktivnosti i mentalnog zdravlja, pri čemu je otpornost jedini značajan medijator. Ovi rezultati sugeriraju da bi intervencije usmjerene na tjelesnu aktivnost koje jačaju otpornost mogle poboljšati cjelokupno mentalno zdravlje adolescenata. U budućnosti će biti potrebne epidemiološke studije kako bi se istražili drugi potencijalni moderatori ovog odnosa, uključujući dob i vrste tjelesne aktivnosti.</w:t>
            </w:r>
          </w:p>
        </w:tc>
      </w:tr>
      <w:tr w:rsidR="0752BA49" w14:paraId="5A4BE78D"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1BD5DA2E" w14:textId="5A8D1D55" w:rsidR="0752BA49" w:rsidRDefault="1BFBD78B" w:rsidP="4DCF16DC">
            <w:pPr>
              <w:spacing w:line="276" w:lineRule="auto"/>
              <w:rPr>
                <w:rFonts w:eastAsiaTheme="minorEastAsia"/>
                <w:sz w:val="18"/>
                <w:szCs w:val="18"/>
                <w:lang w:val="it"/>
              </w:rPr>
            </w:pPr>
            <w:r w:rsidRPr="4DCF16DC">
              <w:rPr>
                <w:rFonts w:eastAsiaTheme="minorEastAsia"/>
                <w:b/>
                <w:bCs/>
                <w:sz w:val="18"/>
                <w:szCs w:val="18"/>
                <w:lang w:val="it"/>
              </w:rPr>
              <w:t>Kako može koristiti na MentiFit projektu?</w:t>
            </w:r>
            <w:r w:rsidRPr="4DCF16DC">
              <w:rPr>
                <w:rFonts w:eastAsiaTheme="minorEastAsia"/>
                <w:b/>
                <w:bCs/>
                <w:sz w:val="18"/>
                <w:szCs w:val="18"/>
                <w:lang w:val="hr"/>
              </w:rPr>
              <w:t> </w:t>
            </w:r>
            <w:r w:rsidRPr="4DCF16DC">
              <w:rPr>
                <w:rFonts w:eastAsiaTheme="minorEastAsia"/>
                <w:sz w:val="18"/>
                <w:szCs w:val="18"/>
                <w:lang w:val="it"/>
              </w:rPr>
              <w:t xml:space="preserve"> </w:t>
            </w:r>
          </w:p>
          <w:p w14:paraId="5BF3D1C3" w14:textId="297A526C"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326D410D" w14:textId="67484C51"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 xml:space="preserve">Voditi računa o psihološkoj otpornosti i istražiti utjecaj različitih vrsta TA na mentalno zdravlje adolescenata.  </w:t>
            </w:r>
          </w:p>
        </w:tc>
      </w:tr>
      <w:tr w:rsidR="0752BA49" w14:paraId="27413BC7" w14:textId="77777777" w:rsidTr="4DCF16DC">
        <w:trPr>
          <w:trHeight w:val="285"/>
          <w:jc w:val="center"/>
        </w:trPr>
        <w:tc>
          <w:tcPr>
            <w:tcW w:w="2963" w:type="dxa"/>
            <w:tcBorders>
              <w:top w:val="single" w:sz="8" w:space="0" w:color="auto"/>
              <w:left w:val="single" w:sz="8" w:space="0" w:color="auto"/>
              <w:bottom w:val="single" w:sz="8" w:space="0" w:color="auto"/>
              <w:right w:val="single" w:sz="8" w:space="0" w:color="auto"/>
            </w:tcBorders>
          </w:tcPr>
          <w:p w14:paraId="24D982E5" w14:textId="4376BB42" w:rsidR="0752BA49" w:rsidRDefault="1BFBD78B" w:rsidP="4DCF16DC">
            <w:pPr>
              <w:spacing w:line="276" w:lineRule="auto"/>
              <w:rPr>
                <w:rFonts w:eastAsiaTheme="minorEastAsia"/>
                <w:sz w:val="18"/>
                <w:szCs w:val="18"/>
              </w:rPr>
            </w:pPr>
            <w:r w:rsidRPr="4DCF16DC">
              <w:rPr>
                <w:rFonts w:eastAsiaTheme="minorEastAsia"/>
                <w:b/>
                <w:bCs/>
                <w:sz w:val="18"/>
                <w:szCs w:val="18"/>
              </w:rPr>
              <w:t>Komentar, pitanje… </w:t>
            </w:r>
            <w:r w:rsidRPr="4DCF16DC">
              <w:rPr>
                <w:rFonts w:eastAsiaTheme="minorEastAsia"/>
                <w:b/>
                <w:bCs/>
                <w:sz w:val="18"/>
                <w:szCs w:val="18"/>
                <w:lang w:val="hr"/>
              </w:rPr>
              <w:t> </w:t>
            </w:r>
            <w:r w:rsidRPr="4DCF16DC">
              <w:rPr>
                <w:rFonts w:eastAsiaTheme="minorEastAsia"/>
                <w:sz w:val="18"/>
                <w:szCs w:val="18"/>
              </w:rPr>
              <w:t xml:space="preserve"> </w:t>
            </w:r>
          </w:p>
        </w:tc>
        <w:tc>
          <w:tcPr>
            <w:tcW w:w="6108" w:type="dxa"/>
            <w:tcBorders>
              <w:top w:val="single" w:sz="8" w:space="0" w:color="auto"/>
              <w:left w:val="single" w:sz="8" w:space="0" w:color="auto"/>
              <w:bottom w:val="single" w:sz="8" w:space="0" w:color="auto"/>
              <w:right w:val="single" w:sz="8" w:space="0" w:color="auto"/>
            </w:tcBorders>
          </w:tcPr>
          <w:p w14:paraId="568A5498" w14:textId="533E99E1" w:rsidR="0752BA49" w:rsidRDefault="1BFBD78B" w:rsidP="4DCF16DC">
            <w:pPr>
              <w:spacing w:line="276" w:lineRule="auto"/>
              <w:rPr>
                <w:rFonts w:eastAsiaTheme="minorEastAsia"/>
                <w:sz w:val="18"/>
                <w:szCs w:val="18"/>
              </w:rPr>
            </w:pPr>
            <w:r w:rsidRPr="4DCF16DC">
              <w:rPr>
                <w:rFonts w:eastAsiaTheme="minorEastAsia"/>
                <w:sz w:val="18"/>
                <w:szCs w:val="18"/>
              </w:rPr>
              <w:t>Promoviranje tjelesnih aktivnosti koje jačaju psihološku otpornost moglo bi biti obećavajući način za poboljšanje mentalnog zdravlja adolescenata.</w:t>
            </w:r>
          </w:p>
        </w:tc>
      </w:tr>
    </w:tbl>
    <w:p w14:paraId="32834D18" w14:textId="2FAFA20D" w:rsidR="0752BA49" w:rsidRDefault="0752BA49"/>
    <w:tbl>
      <w:tblPr>
        <w:tblW w:w="90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23"/>
        <w:gridCol w:w="6037"/>
      </w:tblGrid>
      <w:tr w:rsidR="0752BA49" w14:paraId="6BCB1EA8" w14:textId="77777777" w:rsidTr="4DCF16DC">
        <w:trPr>
          <w:trHeight w:val="1230"/>
        </w:trPr>
        <w:tc>
          <w:tcPr>
            <w:tcW w:w="3023" w:type="dxa"/>
            <w:tcBorders>
              <w:top w:val="single" w:sz="8" w:space="0" w:color="auto"/>
              <w:left w:val="single" w:sz="8" w:space="0" w:color="auto"/>
              <w:bottom w:val="single" w:sz="8" w:space="0" w:color="auto"/>
              <w:right w:val="single" w:sz="8" w:space="0" w:color="auto"/>
            </w:tcBorders>
          </w:tcPr>
          <w:p w14:paraId="6B205ECF" w14:textId="06C60348" w:rsidR="33D10D42" w:rsidRDefault="33D10D42" w:rsidP="4DCF16DC">
            <w:pPr>
              <w:spacing w:line="276" w:lineRule="auto"/>
              <w:rPr>
                <w:rFonts w:eastAsiaTheme="minorEastAsia"/>
                <w:sz w:val="18"/>
                <w:szCs w:val="18"/>
              </w:rPr>
            </w:pPr>
            <w:r w:rsidRPr="4DCF16DC">
              <w:rPr>
                <w:rFonts w:eastAsiaTheme="minorEastAsia"/>
                <w:b/>
                <w:bCs/>
                <w:sz w:val="18"/>
                <w:szCs w:val="18"/>
                <w:lang w:val="hr"/>
              </w:rPr>
              <w:t>Referenca</w:t>
            </w:r>
            <w:r w:rsidR="1BFBD78B" w:rsidRPr="4DCF16DC">
              <w:rPr>
                <w:rFonts w:eastAsiaTheme="minorEastAsia"/>
                <w:b/>
                <w:bCs/>
                <w:sz w:val="18"/>
                <w:szCs w:val="18"/>
                <w:lang w:val="hr"/>
              </w:rPr>
              <w:t> </w:t>
            </w:r>
            <w:r w:rsidR="1BFBD78B"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34964088" w14:textId="77ECBCF6" w:rsidR="0752BA49" w:rsidRDefault="0ABDA52A" w:rsidP="4DCF16DC">
            <w:pPr>
              <w:spacing w:line="276" w:lineRule="auto"/>
              <w:rPr>
                <w:rFonts w:eastAsiaTheme="minorEastAsia"/>
                <w:sz w:val="18"/>
                <w:szCs w:val="18"/>
                <w:lang w:val="en-US"/>
              </w:rPr>
            </w:pPr>
            <w:r w:rsidRPr="4DCF16DC">
              <w:rPr>
                <w:rFonts w:eastAsiaTheme="minorEastAsia"/>
                <w:sz w:val="18"/>
                <w:szCs w:val="18"/>
                <w:lang w:val="en-US"/>
              </w:rPr>
              <w:t xml:space="preserve">Pastor-Cisneros, R., López-Gil, J. F., Carl, J., Adsuar, J. C., &amp; Mendoza-Muñoz, M. (2025). Exploring the associations of perceived physical literacy with depression, anxiety, and stress among Spanish adolescents. </w:t>
            </w:r>
            <w:r w:rsidRPr="4DCF16DC">
              <w:rPr>
                <w:rFonts w:eastAsiaTheme="minorEastAsia"/>
                <w:i/>
                <w:iCs/>
                <w:sz w:val="18"/>
                <w:szCs w:val="18"/>
                <w:lang w:val="en-US"/>
              </w:rPr>
              <w:t>Complementary Therapies in Clinical Practice, 59</w:t>
            </w:r>
            <w:r w:rsidRPr="4DCF16DC">
              <w:rPr>
                <w:rFonts w:eastAsiaTheme="minorEastAsia"/>
                <w:sz w:val="18"/>
                <w:szCs w:val="18"/>
                <w:lang w:val="en-US"/>
              </w:rPr>
              <w:t xml:space="preserve">, 101948. </w:t>
            </w:r>
            <w:hyperlink r:id="rId43">
              <w:r w:rsidRPr="4DCF16DC">
                <w:rPr>
                  <w:rStyle w:val="Hiperveza"/>
                  <w:rFonts w:eastAsiaTheme="minorEastAsia"/>
                  <w:sz w:val="18"/>
                  <w:szCs w:val="18"/>
                  <w:lang w:val="en-US"/>
                </w:rPr>
                <w:t>https://doi.org/10.1016/j.ctcp.2025.101948</w:t>
              </w:r>
            </w:hyperlink>
          </w:p>
        </w:tc>
      </w:tr>
      <w:tr w:rsidR="0752BA49" w14:paraId="4FC67C25"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618D2783" w14:textId="4BFFD172" w:rsidR="0752BA49" w:rsidRDefault="1BFBD78B" w:rsidP="4DCF16DC">
            <w:pPr>
              <w:spacing w:line="276" w:lineRule="auto"/>
              <w:rPr>
                <w:rFonts w:eastAsiaTheme="minorEastAsia"/>
                <w:sz w:val="18"/>
                <w:szCs w:val="18"/>
              </w:rPr>
            </w:pPr>
            <w:r w:rsidRPr="4DCF16DC">
              <w:rPr>
                <w:rFonts w:eastAsiaTheme="minorEastAsia"/>
                <w:b/>
                <w:bCs/>
                <w:sz w:val="18"/>
                <w:szCs w:val="18"/>
              </w:rPr>
              <w:t>Link</w:t>
            </w: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37765DAF" w14:textId="4AF0476B" w:rsidR="0752BA49" w:rsidRDefault="000D719D" w:rsidP="4DCF16DC">
            <w:pPr>
              <w:spacing w:line="276" w:lineRule="auto"/>
              <w:rPr>
                <w:rFonts w:eastAsiaTheme="minorEastAsia"/>
                <w:sz w:val="18"/>
                <w:szCs w:val="18"/>
              </w:rPr>
            </w:pPr>
            <w:hyperlink r:id="rId44">
              <w:r w:rsidR="1BFBD78B" w:rsidRPr="4DCF16DC">
                <w:rPr>
                  <w:rStyle w:val="Hiperveza"/>
                  <w:rFonts w:eastAsiaTheme="minorEastAsia"/>
                  <w:color w:val="467886"/>
                  <w:sz w:val="18"/>
                  <w:szCs w:val="18"/>
                </w:rPr>
                <w:t>https://www.sciencedirect.com/science/article/pii/S1744388125000131</w:t>
              </w:r>
            </w:hyperlink>
            <w:r w:rsidR="1BFBD78B" w:rsidRPr="4DCF16DC">
              <w:rPr>
                <w:rFonts w:eastAsiaTheme="minorEastAsia"/>
                <w:sz w:val="18"/>
                <w:szCs w:val="18"/>
              </w:rPr>
              <w:t xml:space="preserve"> </w:t>
            </w:r>
          </w:p>
        </w:tc>
      </w:tr>
      <w:tr w:rsidR="0752BA49" w14:paraId="33DD4D30"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183B25AD" w14:textId="590B425F" w:rsidR="0752BA49" w:rsidRDefault="1BFBD78B" w:rsidP="4DCF16DC">
            <w:pPr>
              <w:spacing w:line="276" w:lineRule="auto"/>
              <w:rPr>
                <w:rFonts w:eastAsiaTheme="minorEastAsia"/>
                <w:sz w:val="18"/>
                <w:szCs w:val="18"/>
              </w:rPr>
            </w:pPr>
            <w:r w:rsidRPr="4DCF16DC">
              <w:rPr>
                <w:rFonts w:eastAsiaTheme="minorEastAsia"/>
                <w:b/>
                <w:bCs/>
                <w:sz w:val="18"/>
                <w:szCs w:val="18"/>
              </w:rPr>
              <w:t>Područje-tema</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026FD5CB" w14:textId="76FE29FC" w:rsidR="0752BA49" w:rsidRDefault="1BFBD78B" w:rsidP="4DCF16DC">
            <w:pPr>
              <w:spacing w:line="276" w:lineRule="auto"/>
              <w:rPr>
                <w:rFonts w:eastAsiaTheme="minorEastAsia"/>
                <w:sz w:val="18"/>
                <w:szCs w:val="18"/>
                <w:lang w:val="it"/>
              </w:rPr>
            </w:pPr>
            <w:r w:rsidRPr="4DCF16DC">
              <w:rPr>
                <w:rFonts w:eastAsiaTheme="minorEastAsia"/>
                <w:sz w:val="18"/>
                <w:szCs w:val="18"/>
                <w:lang w:val="hr"/>
              </w:rPr>
              <w:t>Tjelesna pismenost i mentalno zdravlje</w:t>
            </w:r>
            <w:r w:rsidRPr="4DCF16DC">
              <w:rPr>
                <w:rFonts w:eastAsiaTheme="minorEastAsia"/>
                <w:sz w:val="18"/>
                <w:szCs w:val="18"/>
                <w:lang w:val="it"/>
              </w:rPr>
              <w:t xml:space="preserve"> </w:t>
            </w:r>
          </w:p>
        </w:tc>
      </w:tr>
      <w:tr w:rsidR="0752BA49" w14:paraId="617E813B"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4F787A72" w14:textId="5DB6B2FB" w:rsidR="0752BA49" w:rsidRDefault="1BFBD78B" w:rsidP="4DCF16DC">
            <w:pPr>
              <w:spacing w:line="276" w:lineRule="auto"/>
              <w:rPr>
                <w:rFonts w:eastAsiaTheme="minorEastAsia"/>
                <w:sz w:val="18"/>
                <w:szCs w:val="18"/>
              </w:rPr>
            </w:pPr>
            <w:r w:rsidRPr="4DCF16DC">
              <w:rPr>
                <w:rFonts w:eastAsiaTheme="minorEastAsia"/>
                <w:b/>
                <w:bCs/>
                <w:sz w:val="18"/>
                <w:szCs w:val="18"/>
              </w:rPr>
              <w:t>Pripremila/pripremio</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0BE6C369" w14:textId="6B7D1110" w:rsidR="0752BA49" w:rsidRDefault="1BFBD78B" w:rsidP="4DCF16DC">
            <w:pPr>
              <w:spacing w:line="276" w:lineRule="auto"/>
              <w:rPr>
                <w:rFonts w:eastAsiaTheme="minorEastAsia"/>
                <w:sz w:val="18"/>
                <w:szCs w:val="18"/>
              </w:rPr>
            </w:pPr>
            <w:r w:rsidRPr="4DCF16DC">
              <w:rPr>
                <w:rFonts w:eastAsiaTheme="minorEastAsia"/>
                <w:sz w:val="18"/>
                <w:szCs w:val="18"/>
                <w:lang w:val="hr"/>
              </w:rPr>
              <w:t>Tatjana Trošt</w:t>
            </w:r>
            <w:r w:rsidRPr="4DCF16DC">
              <w:rPr>
                <w:rFonts w:eastAsiaTheme="minorEastAsia"/>
                <w:sz w:val="18"/>
                <w:szCs w:val="18"/>
              </w:rPr>
              <w:t xml:space="preserve"> </w:t>
            </w:r>
          </w:p>
        </w:tc>
      </w:tr>
      <w:tr w:rsidR="0752BA49" w14:paraId="332991C3"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6AF3D600" w14:textId="49EF41DB" w:rsidR="0752BA49" w:rsidRDefault="1BFBD78B" w:rsidP="4DCF16DC">
            <w:pPr>
              <w:spacing w:line="276" w:lineRule="auto"/>
              <w:rPr>
                <w:rFonts w:eastAsiaTheme="minorEastAsia"/>
                <w:sz w:val="18"/>
                <w:szCs w:val="18"/>
              </w:rPr>
            </w:pPr>
            <w:r w:rsidRPr="4DCF16DC">
              <w:rPr>
                <w:rFonts w:eastAsiaTheme="minorEastAsia"/>
                <w:b/>
                <w:bCs/>
                <w:sz w:val="18"/>
                <w:szCs w:val="18"/>
              </w:rPr>
              <w:t>Categorisation</w:t>
            </w:r>
            <w:r w:rsidRPr="4DCF16DC">
              <w:rPr>
                <w:rFonts w:eastAsiaTheme="minorEastAsia"/>
                <w:b/>
                <w:bCs/>
                <w:sz w:val="18"/>
                <w:szCs w:val="18"/>
                <w:lang w:val="hr"/>
              </w:rPr>
              <w:t> </w:t>
            </w:r>
            <w:r w:rsidRPr="4DCF16DC">
              <w:rPr>
                <w:rFonts w:eastAsiaTheme="minorEastAsia"/>
                <w:sz w:val="18"/>
                <w:szCs w:val="18"/>
              </w:rPr>
              <w:t xml:space="preserve"> </w:t>
            </w:r>
          </w:p>
          <w:p w14:paraId="0E92F95B" w14:textId="64CC6345" w:rsidR="0752BA49" w:rsidRDefault="1BFBD78B" w:rsidP="4DCF16DC">
            <w:pPr>
              <w:spacing w:line="276" w:lineRule="auto"/>
              <w:rPr>
                <w:rFonts w:eastAsiaTheme="minorEastAsia"/>
                <w:sz w:val="18"/>
                <w:szCs w:val="18"/>
              </w:rPr>
            </w:pPr>
            <w:r w:rsidRPr="4DCF16DC">
              <w:rPr>
                <w:rFonts w:eastAsiaTheme="minorEastAsia"/>
                <w:sz w:val="18"/>
                <w:szCs w:val="18"/>
              </w:rPr>
              <w:t xml:space="preserve">1 – esencijalan </w:t>
            </w:r>
          </w:p>
          <w:p w14:paraId="21D9052A" w14:textId="0D73BBEB" w:rsidR="0752BA49" w:rsidRDefault="1BFBD78B" w:rsidP="4DCF16DC">
            <w:pPr>
              <w:spacing w:line="276" w:lineRule="auto"/>
              <w:rPr>
                <w:rFonts w:eastAsiaTheme="minorEastAsia"/>
                <w:sz w:val="18"/>
                <w:szCs w:val="18"/>
              </w:rPr>
            </w:pPr>
            <w:r w:rsidRPr="4DCF16DC">
              <w:rPr>
                <w:rFonts w:eastAsiaTheme="minorEastAsia"/>
                <w:sz w:val="18"/>
                <w:szCs w:val="18"/>
              </w:rPr>
              <w:t xml:space="preserve">2 – koristan </w:t>
            </w:r>
          </w:p>
          <w:p w14:paraId="63E6E3AE" w14:textId="13140459" w:rsidR="0752BA49" w:rsidRDefault="1BFBD78B" w:rsidP="4DCF16DC">
            <w:pPr>
              <w:spacing w:line="276" w:lineRule="auto"/>
              <w:rPr>
                <w:rFonts w:eastAsiaTheme="minorEastAsia"/>
                <w:sz w:val="18"/>
                <w:szCs w:val="18"/>
              </w:rPr>
            </w:pPr>
            <w:r w:rsidRPr="4DCF16DC">
              <w:rPr>
                <w:rFonts w:eastAsiaTheme="minorEastAsia"/>
                <w:sz w:val="18"/>
                <w:szCs w:val="18"/>
              </w:rPr>
              <w:t xml:space="preserve">3 – potencijalno koristan </w:t>
            </w:r>
          </w:p>
          <w:p w14:paraId="4E9E8D09" w14:textId="246160FA" w:rsidR="0752BA49" w:rsidRDefault="1BFBD78B" w:rsidP="4DCF16DC">
            <w:pPr>
              <w:spacing w:line="276" w:lineRule="auto"/>
              <w:rPr>
                <w:rFonts w:eastAsiaTheme="minorEastAsia"/>
                <w:sz w:val="18"/>
                <w:szCs w:val="18"/>
              </w:rPr>
            </w:pPr>
            <w:r w:rsidRPr="4DCF16DC">
              <w:rPr>
                <w:rFonts w:eastAsiaTheme="minorEastAsia"/>
                <w:sz w:val="18"/>
                <w:szCs w:val="18"/>
              </w:rPr>
              <w:t>4 – ima zanimljiv dio</w:t>
            </w: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4B4B8BE9" w14:textId="5F0B8D06" w:rsidR="0752BA49" w:rsidRDefault="1BFBD78B" w:rsidP="4DCF16DC">
            <w:pPr>
              <w:spacing w:line="276" w:lineRule="auto"/>
              <w:rPr>
                <w:rFonts w:eastAsiaTheme="minorEastAsia"/>
                <w:sz w:val="18"/>
                <w:szCs w:val="18"/>
              </w:rPr>
            </w:pPr>
            <w:r w:rsidRPr="4DCF16DC">
              <w:rPr>
                <w:rFonts w:eastAsiaTheme="minorEastAsia"/>
                <w:sz w:val="18"/>
                <w:szCs w:val="18"/>
              </w:rPr>
              <w:t xml:space="preserve"> </w:t>
            </w:r>
          </w:p>
          <w:p w14:paraId="3300A882" w14:textId="0CFB0127" w:rsidR="0752BA49" w:rsidRDefault="1BFBD78B" w:rsidP="4DCF16DC">
            <w:pPr>
              <w:spacing w:line="276" w:lineRule="auto"/>
              <w:rPr>
                <w:rFonts w:eastAsiaTheme="minorEastAsia"/>
                <w:sz w:val="18"/>
                <w:szCs w:val="18"/>
              </w:rPr>
            </w:pPr>
            <w:r w:rsidRPr="4DCF16DC">
              <w:rPr>
                <w:rFonts w:eastAsiaTheme="minorEastAsia"/>
                <w:b/>
                <w:bCs/>
                <w:sz w:val="18"/>
                <w:szCs w:val="18"/>
                <w:lang w:val="hr"/>
              </w:rPr>
              <w:t xml:space="preserve">  2</w:t>
            </w:r>
            <w:r w:rsidRPr="4DCF16DC">
              <w:rPr>
                <w:rFonts w:eastAsiaTheme="minorEastAsia"/>
                <w:sz w:val="18"/>
                <w:szCs w:val="18"/>
              </w:rPr>
              <w:t xml:space="preserve"> </w:t>
            </w:r>
          </w:p>
        </w:tc>
      </w:tr>
      <w:tr w:rsidR="0752BA49" w14:paraId="274CE6EA"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642B824A" w14:textId="220D5003" w:rsidR="0752BA49" w:rsidRDefault="1BFBD78B" w:rsidP="4DCF16DC">
            <w:pPr>
              <w:spacing w:line="276" w:lineRule="auto"/>
              <w:rPr>
                <w:rFonts w:eastAsiaTheme="minorEastAsia"/>
                <w:sz w:val="18"/>
                <w:szCs w:val="18"/>
              </w:rPr>
            </w:pPr>
            <w:r w:rsidRPr="4DCF16DC">
              <w:rPr>
                <w:rFonts w:eastAsiaTheme="minorEastAsia"/>
                <w:b/>
                <w:bCs/>
                <w:sz w:val="18"/>
                <w:szCs w:val="18"/>
                <w:lang w:val="hr"/>
              </w:rPr>
              <w:t>Sažetak (kopija)</w:t>
            </w:r>
            <w:r w:rsidRPr="4DCF16DC">
              <w:rPr>
                <w:rFonts w:eastAsiaTheme="minorEastAsia"/>
                <w:sz w:val="18"/>
                <w:szCs w:val="18"/>
              </w:rPr>
              <w:t xml:space="preserve"> </w:t>
            </w:r>
          </w:p>
          <w:p w14:paraId="7B022880" w14:textId="4BD9F396"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61DA202C" w14:textId="11B8FB47"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Background and purpose</w:t>
            </w:r>
          </w:p>
          <w:p w14:paraId="6485B060" w14:textId="61FC5275"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The concept of physical literacy has gained prominence in the context of adolescent health, with increasing evidence suggesting its potential as a pivotal factor in promoting adolescent well-being and physical activity. The objective of the current study was to examine the relationships between perceived physical literacy (PPL) and symptoms of depression, anxiety, and stress in Spanish adolescents.</w:t>
            </w:r>
          </w:p>
          <w:p w14:paraId="7DC27B7F" w14:textId="1C1470F1"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Materials and methods</w:t>
            </w:r>
          </w:p>
          <w:p w14:paraId="09BFFDCE" w14:textId="5B167E1E"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A cross-sectional study including 714 adolescents was conducted. The Spanish Perceived Physical Literacy Instrument for Adolescents (S-PPLI) and Depression Anxiety Stress Scale 21 (DASS-21) were used. To determine the relationship between the PPL and DASS-21 score, robust linear regression models were constructed.</w:t>
            </w:r>
          </w:p>
          <w:p w14:paraId="14D1DBB2" w14:textId="6AE82A86"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Results</w:t>
            </w:r>
          </w:p>
          <w:p w14:paraId="4B239AE1" w14:textId="49A49EFD"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After adjusting for several covariates, an inverse relationship was found between the S-PPLI score and the domains of the DASS-21 (symptoms of depression: unstandardized beta coefficient [B] = −0.14; 95 % confidence interval [CI] −0.20 to −0.08; p &lt; 0.001; anxiety: B = −0.09; 95 % CI −0.15 to −0.04; p = 0.002; and stress: B = −0.09; 95 % CI −0.16 to −0.03; p = 0.006). Furthermore, adolescents with high PPL status presented significantly lower symptoms of depression, anxiety and stress than adolescents with low PPL status did.</w:t>
            </w:r>
          </w:p>
          <w:p w14:paraId="1B11EFE6" w14:textId="683E9073"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Conclusion</w:t>
            </w:r>
          </w:p>
          <w:p w14:paraId="23DE202B" w14:textId="61C88921"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PPL could be considered a key factor in preventing the development of symptoms of depression, anxiety, and stress in the adolescent population. Physical literacy might play a decisive role in the potential of physical activity in promoting mental health in adolescents.</w:t>
            </w:r>
          </w:p>
        </w:tc>
      </w:tr>
      <w:tr w:rsidR="0752BA49" w14:paraId="6F8BAEF7"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5C03C488" w14:textId="3EC6B5E5" w:rsidR="0752BA49" w:rsidRDefault="1BFBD78B" w:rsidP="4DCF16DC">
            <w:pPr>
              <w:spacing w:line="276" w:lineRule="auto"/>
              <w:rPr>
                <w:rFonts w:eastAsiaTheme="minorEastAsia"/>
                <w:sz w:val="18"/>
                <w:szCs w:val="18"/>
              </w:rPr>
            </w:pPr>
            <w:r w:rsidRPr="4DCF16DC">
              <w:rPr>
                <w:rFonts w:eastAsiaTheme="minorEastAsia"/>
                <w:b/>
                <w:bCs/>
                <w:sz w:val="18"/>
                <w:szCs w:val="18"/>
              </w:rPr>
              <w:t>Ključne riječi</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796DF50F" w14:textId="54D3517E" w:rsidR="0752BA49" w:rsidRDefault="1BFBD78B" w:rsidP="4DCF16DC">
            <w:pPr>
              <w:spacing w:line="276" w:lineRule="auto"/>
              <w:rPr>
                <w:rFonts w:eastAsiaTheme="minorEastAsia"/>
                <w:sz w:val="18"/>
                <w:szCs w:val="18"/>
                <w:lang w:val="it-IT"/>
              </w:rPr>
            </w:pPr>
            <w:r w:rsidRPr="4DCF16DC">
              <w:rPr>
                <w:rFonts w:eastAsiaTheme="minorEastAsia"/>
                <w:sz w:val="18"/>
                <w:szCs w:val="18"/>
                <w:lang w:val="it-IT"/>
              </w:rPr>
              <w:t>Tjelesna pismenost, adolescenti, mentalno zdravlje</w:t>
            </w:r>
          </w:p>
        </w:tc>
      </w:tr>
      <w:tr w:rsidR="0752BA49" w14:paraId="4A2B0C06"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35769779" w14:textId="279E2068" w:rsidR="0752BA49" w:rsidRDefault="1BFBD78B" w:rsidP="4DCF16DC">
            <w:pPr>
              <w:spacing w:line="276" w:lineRule="auto"/>
              <w:rPr>
                <w:rFonts w:eastAsiaTheme="minorEastAsia"/>
                <w:sz w:val="18"/>
                <w:szCs w:val="18"/>
              </w:rPr>
            </w:pPr>
            <w:r w:rsidRPr="4DCF16DC">
              <w:rPr>
                <w:rFonts w:eastAsiaTheme="minorEastAsia"/>
                <w:b/>
                <w:bCs/>
                <w:sz w:val="18"/>
                <w:szCs w:val="18"/>
                <w:lang w:val="hr"/>
              </w:rPr>
              <w:t>Kratki opis</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2AB367BB" w14:textId="372597BF" w:rsidR="0752BA49" w:rsidRDefault="1BFBD78B" w:rsidP="4DCF16DC">
            <w:pPr>
              <w:spacing w:line="276" w:lineRule="auto"/>
              <w:rPr>
                <w:rFonts w:eastAsiaTheme="minorEastAsia"/>
                <w:sz w:val="18"/>
                <w:szCs w:val="18"/>
                <w:lang w:val="it-IT"/>
              </w:rPr>
            </w:pPr>
            <w:r w:rsidRPr="4DCF16DC">
              <w:rPr>
                <w:rFonts w:eastAsiaTheme="minorEastAsia"/>
                <w:sz w:val="18"/>
                <w:szCs w:val="18"/>
                <w:lang w:val="it-IT"/>
              </w:rPr>
              <w:t>Istraživanje je ispitivalo povezanost percipirane tjelesne pismenosti (PPL) i simptoma depresije, anksioznosti te stresa kod španjolskih adolescenata. U presječnoj studiji sudjelovalo je 714 učenika, a korišteni su upitnik za procjenu percipirane tjelesne pismenosti (S-PPLI) i skala DASS-21. Analizom je utvrđeno da postoji obrnuta povezanost između PPL i svih domena DASS-21: što je viša razina percipirane tjelesne pismenosti, to su simptomi depresije, anksioznosti i stresa značajno niži. Također, adolescenti s visokim PPL pokazali su znatno manje simptoma u odnosu na one s niskim PPL. Zaključak je da bi percipirana tjelesna pismenost mogla biti važan faktor u prevenciji mentalnih poteškoća kod adolescenata te da igra ključnu ulogu u potencijalu tjelesne aktivnosti za poboljšanje mentalnog zdravlja.</w:t>
            </w:r>
          </w:p>
        </w:tc>
      </w:tr>
      <w:tr w:rsidR="0752BA49" w14:paraId="259BCE01"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427E4B10" w14:textId="0427360C" w:rsidR="0752BA49" w:rsidRDefault="1BFBD78B" w:rsidP="4DCF16DC">
            <w:pPr>
              <w:spacing w:line="276" w:lineRule="auto"/>
              <w:rPr>
                <w:rFonts w:eastAsiaTheme="minorEastAsia"/>
                <w:sz w:val="18"/>
                <w:szCs w:val="18"/>
              </w:rPr>
            </w:pPr>
            <w:r w:rsidRPr="4DCF16DC">
              <w:rPr>
                <w:rFonts w:eastAsiaTheme="minorEastAsia"/>
                <w:b/>
                <w:bCs/>
                <w:sz w:val="18"/>
                <w:szCs w:val="18"/>
              </w:rPr>
              <w:t>Ključni nalazi</w:t>
            </w:r>
            <w:r w:rsidRPr="4DCF16DC">
              <w:rPr>
                <w:rFonts w:eastAsiaTheme="minorEastAsia"/>
                <w:sz w:val="18"/>
                <w:szCs w:val="18"/>
              </w:rPr>
              <w:t xml:space="preserve"> </w:t>
            </w:r>
          </w:p>
          <w:p w14:paraId="1E06DF20" w14:textId="6CEE1D6E"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44524575" w14:textId="477D96BA"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 xml:space="preserve">PPL se može smatrati ključnim čimbenikom u smanjenju ili sprječavanju razvoja simptoma depresije, anksioznosti i stresa u adolescentnoj populaciji. Španjolski adolescenti s visokim statusom PPL-a imali su niže simptome anksioznosti i stresa. Oni s umjerenim statusom PPL-a imali su niže simptome anksioznosti. Adolescenti s niskim statusom PPL-a češće su prijavljivali simptome depresije, anksioznosti i stresa. Rezultati ove studije daju početne dokaze o važnosti tjelesne pismenosti za intervencije koje imaju za cilj poboljšanje mentalnog zdravlja adolescenata. Posljedično, nalazi ove studije mogu imati implikacije za razvoj programa osmišljenih za promicanje mentalnog zdravlja i psihološkog blagostanja u ovoj populaciji. </w:t>
            </w:r>
          </w:p>
        </w:tc>
      </w:tr>
      <w:tr w:rsidR="0752BA49" w14:paraId="5BC98769"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57D8271A" w14:textId="46A014E1" w:rsidR="0752BA49" w:rsidRDefault="1BFBD78B" w:rsidP="4DCF16DC">
            <w:pPr>
              <w:spacing w:line="276" w:lineRule="auto"/>
              <w:rPr>
                <w:rFonts w:eastAsiaTheme="minorEastAsia"/>
                <w:sz w:val="18"/>
                <w:szCs w:val="18"/>
                <w:lang w:val="it"/>
              </w:rPr>
            </w:pPr>
            <w:r w:rsidRPr="4DCF16DC">
              <w:rPr>
                <w:rFonts w:eastAsiaTheme="minorEastAsia"/>
                <w:b/>
                <w:bCs/>
                <w:sz w:val="18"/>
                <w:szCs w:val="18"/>
                <w:lang w:val="it"/>
              </w:rPr>
              <w:t>Kako može koristiti na MentiFit projektu?</w:t>
            </w:r>
            <w:r w:rsidRPr="4DCF16DC">
              <w:rPr>
                <w:rFonts w:eastAsiaTheme="minorEastAsia"/>
                <w:b/>
                <w:bCs/>
                <w:sz w:val="18"/>
                <w:szCs w:val="18"/>
                <w:lang w:val="hr"/>
              </w:rPr>
              <w:t> </w:t>
            </w:r>
            <w:r w:rsidRPr="4DCF16DC">
              <w:rPr>
                <w:rFonts w:eastAsiaTheme="minorEastAsia"/>
                <w:sz w:val="18"/>
                <w:szCs w:val="18"/>
                <w:lang w:val="it"/>
              </w:rPr>
              <w:t xml:space="preserve"> </w:t>
            </w:r>
          </w:p>
          <w:p w14:paraId="135DEA29" w14:textId="7AD4A215"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0BB943EA" w14:textId="489F948B"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Razumijevanje odnosa između tjelesne pismenosti i psiholoških varijabli moglo bi pomoći zdravstvenim stručnjacima i donositeljima politika da posebno osmisle učinkovitije intervencije temeljene na pridržavanju i promicanju tjelesne pismenosti kako bi se poboljšalo mentalno zdravlje adolescenata. Buduća istraživanja mogla bi također istražiti može li se tjelesna pismenost identificirati kao promjenjivi čimbenik rizika za mentalne poremećaje kod adolescenata.</w:t>
            </w:r>
          </w:p>
        </w:tc>
      </w:tr>
      <w:tr w:rsidR="0752BA49" w14:paraId="0CA15FE6" w14:textId="77777777" w:rsidTr="4DCF16DC">
        <w:trPr>
          <w:trHeight w:val="285"/>
        </w:trPr>
        <w:tc>
          <w:tcPr>
            <w:tcW w:w="3023" w:type="dxa"/>
            <w:tcBorders>
              <w:top w:val="single" w:sz="8" w:space="0" w:color="auto"/>
              <w:left w:val="single" w:sz="8" w:space="0" w:color="auto"/>
              <w:bottom w:val="single" w:sz="8" w:space="0" w:color="auto"/>
              <w:right w:val="single" w:sz="8" w:space="0" w:color="auto"/>
            </w:tcBorders>
          </w:tcPr>
          <w:p w14:paraId="4BEE8410" w14:textId="0397282C" w:rsidR="0752BA49" w:rsidRDefault="1BFBD78B" w:rsidP="4DCF16DC">
            <w:pPr>
              <w:spacing w:line="276" w:lineRule="auto"/>
              <w:rPr>
                <w:rFonts w:eastAsiaTheme="minorEastAsia"/>
                <w:sz w:val="18"/>
                <w:szCs w:val="18"/>
              </w:rPr>
            </w:pPr>
            <w:r w:rsidRPr="4DCF16DC">
              <w:rPr>
                <w:rFonts w:eastAsiaTheme="minorEastAsia"/>
                <w:b/>
                <w:bCs/>
                <w:sz w:val="18"/>
                <w:szCs w:val="18"/>
              </w:rPr>
              <w:t>Komentar, pitanje… </w:t>
            </w:r>
            <w:r w:rsidRPr="4DCF16DC">
              <w:rPr>
                <w:rFonts w:eastAsiaTheme="minorEastAsia"/>
                <w:b/>
                <w:bCs/>
                <w:sz w:val="18"/>
                <w:szCs w:val="18"/>
                <w:lang w:val="hr"/>
              </w:rPr>
              <w:t> </w:t>
            </w:r>
            <w:r w:rsidRPr="4DCF16DC">
              <w:rPr>
                <w:rFonts w:eastAsiaTheme="minorEastAsia"/>
                <w:sz w:val="18"/>
                <w:szCs w:val="18"/>
              </w:rPr>
              <w:t xml:space="preserve"> </w:t>
            </w:r>
          </w:p>
        </w:tc>
        <w:tc>
          <w:tcPr>
            <w:tcW w:w="6037" w:type="dxa"/>
            <w:tcBorders>
              <w:top w:val="single" w:sz="8" w:space="0" w:color="auto"/>
              <w:left w:val="single" w:sz="8" w:space="0" w:color="auto"/>
              <w:bottom w:val="single" w:sz="8" w:space="0" w:color="auto"/>
              <w:right w:val="single" w:sz="8" w:space="0" w:color="auto"/>
            </w:tcBorders>
          </w:tcPr>
          <w:p w14:paraId="42281E00" w14:textId="418548DD" w:rsidR="0752BA49" w:rsidRDefault="1BFBD78B" w:rsidP="4DCF16DC">
            <w:pPr>
              <w:spacing w:line="276" w:lineRule="auto"/>
              <w:rPr>
                <w:rFonts w:eastAsiaTheme="minorEastAsia"/>
                <w:sz w:val="18"/>
                <w:szCs w:val="18"/>
              </w:rPr>
            </w:pPr>
            <w:r w:rsidRPr="4DCF16DC">
              <w:rPr>
                <w:rFonts w:eastAsiaTheme="minorEastAsia"/>
                <w:sz w:val="18"/>
                <w:szCs w:val="18"/>
              </w:rPr>
              <w:t>Rezultati su pokazali da je ženski spol imao veći utjecaj na povezanost između višeg statusa percipirane tjelesne pismenosti i nižih simptoma depresije i anksioznosti. Djevojke bi mogle imati nešto veće koristi u smislu mentalnog zdravlja pri višim razinama tjelesne pismenosti nego dječaci.</w:t>
            </w:r>
          </w:p>
        </w:tc>
      </w:tr>
    </w:tbl>
    <w:p w14:paraId="4B7195E6" w14:textId="313779C4" w:rsidR="0752BA49" w:rsidRDefault="0752BA49"/>
    <w:tbl>
      <w:tblPr>
        <w:tblW w:w="9071"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3"/>
        <w:gridCol w:w="6058"/>
      </w:tblGrid>
      <w:tr w:rsidR="0752BA49" w14:paraId="5AF4C308" w14:textId="77777777" w:rsidTr="4DCF16DC">
        <w:trPr>
          <w:trHeight w:val="1230"/>
          <w:jc w:val="center"/>
        </w:trPr>
        <w:tc>
          <w:tcPr>
            <w:tcW w:w="3013" w:type="dxa"/>
            <w:tcBorders>
              <w:top w:val="single" w:sz="8" w:space="0" w:color="auto"/>
              <w:left w:val="single" w:sz="8" w:space="0" w:color="auto"/>
              <w:bottom w:val="single" w:sz="8" w:space="0" w:color="auto"/>
              <w:right w:val="single" w:sz="8" w:space="0" w:color="auto"/>
            </w:tcBorders>
          </w:tcPr>
          <w:p w14:paraId="00E4513C" w14:textId="09569591" w:rsidR="33D10D42" w:rsidRDefault="33D10D42" w:rsidP="4DCF16DC">
            <w:pPr>
              <w:spacing w:line="276" w:lineRule="auto"/>
              <w:rPr>
                <w:rFonts w:eastAsiaTheme="minorEastAsia"/>
                <w:sz w:val="18"/>
                <w:szCs w:val="18"/>
              </w:rPr>
            </w:pPr>
            <w:r w:rsidRPr="4DCF16DC">
              <w:rPr>
                <w:rFonts w:eastAsiaTheme="minorEastAsia"/>
                <w:b/>
                <w:bCs/>
                <w:sz w:val="18"/>
                <w:szCs w:val="18"/>
                <w:lang w:val="hr"/>
              </w:rPr>
              <w:t>Referenca</w:t>
            </w:r>
            <w:r w:rsidR="1BFBD78B" w:rsidRPr="4DCF16DC">
              <w:rPr>
                <w:rFonts w:eastAsiaTheme="minorEastAsia"/>
                <w:b/>
                <w:bCs/>
                <w:sz w:val="18"/>
                <w:szCs w:val="18"/>
                <w:lang w:val="hr"/>
              </w:rPr>
              <w:t> </w:t>
            </w:r>
            <w:r w:rsidR="1BFBD78B"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06BE267B" w14:textId="50281998" w:rsidR="0752BA49" w:rsidRDefault="3A1A9178" w:rsidP="4DCF16DC">
            <w:pPr>
              <w:spacing w:line="276" w:lineRule="auto"/>
              <w:rPr>
                <w:rFonts w:eastAsiaTheme="minorEastAsia"/>
                <w:sz w:val="18"/>
                <w:szCs w:val="18"/>
              </w:rPr>
            </w:pPr>
            <w:r w:rsidRPr="4DCF16DC">
              <w:rPr>
                <w:rFonts w:eastAsiaTheme="minorEastAsia"/>
                <w:sz w:val="18"/>
                <w:szCs w:val="18"/>
              </w:rPr>
              <w:t xml:space="preserve">Blain, D. O., Curran, T., &amp; Standage, M. (2020). Psychological and behavioral correlates of early adolescents’ physical literacy. </w:t>
            </w:r>
            <w:r w:rsidRPr="4DCF16DC">
              <w:rPr>
                <w:rFonts w:eastAsiaTheme="minorEastAsia"/>
                <w:i/>
                <w:iCs/>
                <w:sz w:val="18"/>
                <w:szCs w:val="18"/>
              </w:rPr>
              <w:t>Journal of Teaching in Physical Education, 40</w:t>
            </w:r>
            <w:r w:rsidRPr="4DCF16DC">
              <w:rPr>
                <w:rFonts w:eastAsiaTheme="minorEastAsia"/>
                <w:sz w:val="18"/>
                <w:szCs w:val="18"/>
              </w:rPr>
              <w:t>(1), 157–165. https://doi.org/10.1123/jtpe.2019-0067</w:t>
            </w:r>
          </w:p>
        </w:tc>
      </w:tr>
      <w:tr w:rsidR="0752BA49" w14:paraId="64D7DA90"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4597F01E" w14:textId="7BD694B9" w:rsidR="0752BA49" w:rsidRDefault="1BFBD78B" w:rsidP="4DCF16DC">
            <w:pPr>
              <w:spacing w:line="276" w:lineRule="auto"/>
              <w:rPr>
                <w:rFonts w:eastAsiaTheme="minorEastAsia"/>
                <w:sz w:val="18"/>
                <w:szCs w:val="18"/>
              </w:rPr>
            </w:pPr>
            <w:r w:rsidRPr="4DCF16DC">
              <w:rPr>
                <w:rFonts w:eastAsiaTheme="minorEastAsia"/>
                <w:b/>
                <w:bCs/>
                <w:sz w:val="18"/>
                <w:szCs w:val="18"/>
              </w:rPr>
              <w:t>Link</w:t>
            </w: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195E2309" w14:textId="585319DA" w:rsidR="0752BA49" w:rsidRDefault="000D719D" w:rsidP="4DCF16DC">
            <w:pPr>
              <w:spacing w:line="276" w:lineRule="auto"/>
              <w:rPr>
                <w:rFonts w:eastAsiaTheme="minorEastAsia"/>
                <w:sz w:val="18"/>
                <w:szCs w:val="18"/>
              </w:rPr>
            </w:pPr>
            <w:hyperlink r:id="rId45">
              <w:r w:rsidR="1BFBD78B" w:rsidRPr="4DCF16DC">
                <w:rPr>
                  <w:rStyle w:val="Hiperveza"/>
                  <w:rFonts w:eastAsiaTheme="minorEastAsia"/>
                  <w:color w:val="467886"/>
                  <w:sz w:val="18"/>
                  <w:szCs w:val="18"/>
                </w:rPr>
                <w:t>https://journals.humankinetics.com/view/journals/jtpe/40/1/article-p157.pdf?casa_token=FABfdT7O6RoAAAAA:MGnwPKo6wKQ-D0hIz_XE0aGYtOaXF-rxYsoogQHB87h25E-P2CWEpTfxAaeTs00_mQjDFi8</w:t>
              </w:r>
            </w:hyperlink>
            <w:r w:rsidR="1BFBD78B" w:rsidRPr="4DCF16DC">
              <w:rPr>
                <w:rFonts w:eastAsiaTheme="minorEastAsia"/>
                <w:sz w:val="18"/>
                <w:szCs w:val="18"/>
              </w:rPr>
              <w:t xml:space="preserve"> </w:t>
            </w:r>
          </w:p>
        </w:tc>
      </w:tr>
      <w:tr w:rsidR="0752BA49" w14:paraId="26E13B32"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57B4379A" w14:textId="5462D58E" w:rsidR="0752BA49" w:rsidRDefault="1BFBD78B" w:rsidP="4DCF16DC">
            <w:pPr>
              <w:spacing w:line="276" w:lineRule="auto"/>
              <w:rPr>
                <w:rFonts w:eastAsiaTheme="minorEastAsia"/>
                <w:sz w:val="18"/>
                <w:szCs w:val="18"/>
              </w:rPr>
            </w:pPr>
            <w:r w:rsidRPr="4DCF16DC">
              <w:rPr>
                <w:rFonts w:eastAsiaTheme="minorEastAsia"/>
                <w:b/>
                <w:bCs/>
                <w:sz w:val="18"/>
                <w:szCs w:val="18"/>
              </w:rPr>
              <w:t>Područje-tema</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48E552EA" w14:textId="7A6AA587"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Tjelesna pismenost, uključenost u tjelesnu aktivnost u slobodno vrijeme i na nastavi TZK i mentalno zdravlje</w:t>
            </w:r>
          </w:p>
        </w:tc>
      </w:tr>
      <w:tr w:rsidR="0752BA49" w14:paraId="0802CC95"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1CFBF9C2" w14:textId="196C9197" w:rsidR="0752BA49" w:rsidRDefault="1BFBD78B" w:rsidP="4DCF16DC">
            <w:pPr>
              <w:spacing w:line="276" w:lineRule="auto"/>
              <w:rPr>
                <w:rFonts w:eastAsiaTheme="minorEastAsia"/>
                <w:sz w:val="18"/>
                <w:szCs w:val="18"/>
              </w:rPr>
            </w:pPr>
            <w:r w:rsidRPr="4DCF16DC">
              <w:rPr>
                <w:rFonts w:eastAsiaTheme="minorEastAsia"/>
                <w:b/>
                <w:bCs/>
                <w:sz w:val="18"/>
                <w:szCs w:val="18"/>
              </w:rPr>
              <w:t>Pripremila/pripremio</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2B79EBFC" w14:textId="7D531CFA" w:rsidR="0752BA49" w:rsidRDefault="1BFBD78B" w:rsidP="4DCF16DC">
            <w:pPr>
              <w:spacing w:line="276" w:lineRule="auto"/>
              <w:rPr>
                <w:rFonts w:eastAsiaTheme="minorEastAsia"/>
                <w:sz w:val="18"/>
                <w:szCs w:val="18"/>
              </w:rPr>
            </w:pPr>
            <w:r w:rsidRPr="4DCF16DC">
              <w:rPr>
                <w:rFonts w:eastAsiaTheme="minorEastAsia"/>
                <w:sz w:val="18"/>
                <w:szCs w:val="18"/>
                <w:lang w:val="hr"/>
              </w:rPr>
              <w:t>Tatjana Trošt</w:t>
            </w:r>
            <w:r w:rsidRPr="4DCF16DC">
              <w:rPr>
                <w:rFonts w:eastAsiaTheme="minorEastAsia"/>
                <w:sz w:val="18"/>
                <w:szCs w:val="18"/>
              </w:rPr>
              <w:t xml:space="preserve"> </w:t>
            </w:r>
          </w:p>
        </w:tc>
      </w:tr>
      <w:tr w:rsidR="0752BA49" w14:paraId="0BE21D4A"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0228F1A3" w14:textId="55C26805" w:rsidR="0752BA49" w:rsidRDefault="1BFBD78B" w:rsidP="4DCF16DC">
            <w:pPr>
              <w:spacing w:line="276" w:lineRule="auto"/>
              <w:rPr>
                <w:rFonts w:eastAsiaTheme="minorEastAsia"/>
                <w:sz w:val="18"/>
                <w:szCs w:val="18"/>
              </w:rPr>
            </w:pPr>
            <w:r w:rsidRPr="4DCF16DC">
              <w:rPr>
                <w:rFonts w:eastAsiaTheme="minorEastAsia"/>
                <w:b/>
                <w:bCs/>
                <w:sz w:val="18"/>
                <w:szCs w:val="18"/>
              </w:rPr>
              <w:t>Categorisation</w:t>
            </w:r>
            <w:r w:rsidRPr="4DCF16DC">
              <w:rPr>
                <w:rFonts w:eastAsiaTheme="minorEastAsia"/>
                <w:b/>
                <w:bCs/>
                <w:sz w:val="18"/>
                <w:szCs w:val="18"/>
                <w:lang w:val="hr"/>
              </w:rPr>
              <w:t> </w:t>
            </w:r>
            <w:r w:rsidRPr="4DCF16DC">
              <w:rPr>
                <w:rFonts w:eastAsiaTheme="minorEastAsia"/>
                <w:sz w:val="18"/>
                <w:szCs w:val="18"/>
              </w:rPr>
              <w:t xml:space="preserve"> </w:t>
            </w:r>
          </w:p>
          <w:p w14:paraId="32D1EA16" w14:textId="31FAFBFE" w:rsidR="0752BA49" w:rsidRDefault="1BFBD78B" w:rsidP="4DCF16DC">
            <w:pPr>
              <w:spacing w:line="276" w:lineRule="auto"/>
              <w:rPr>
                <w:rFonts w:eastAsiaTheme="minorEastAsia"/>
                <w:sz w:val="18"/>
                <w:szCs w:val="18"/>
              </w:rPr>
            </w:pPr>
            <w:r w:rsidRPr="4DCF16DC">
              <w:rPr>
                <w:rFonts w:eastAsiaTheme="minorEastAsia"/>
                <w:sz w:val="18"/>
                <w:szCs w:val="18"/>
              </w:rPr>
              <w:t xml:space="preserve">1 – esencijalan </w:t>
            </w:r>
          </w:p>
          <w:p w14:paraId="53963287" w14:textId="4CC5D3B0" w:rsidR="0752BA49" w:rsidRDefault="1BFBD78B" w:rsidP="4DCF16DC">
            <w:pPr>
              <w:spacing w:line="276" w:lineRule="auto"/>
              <w:rPr>
                <w:rFonts w:eastAsiaTheme="minorEastAsia"/>
                <w:sz w:val="18"/>
                <w:szCs w:val="18"/>
              </w:rPr>
            </w:pPr>
            <w:r w:rsidRPr="4DCF16DC">
              <w:rPr>
                <w:rFonts w:eastAsiaTheme="minorEastAsia"/>
                <w:sz w:val="18"/>
                <w:szCs w:val="18"/>
              </w:rPr>
              <w:t xml:space="preserve">2 – koristan </w:t>
            </w:r>
          </w:p>
          <w:p w14:paraId="5DC8F0C8" w14:textId="7AEA46A0" w:rsidR="0752BA49" w:rsidRDefault="1BFBD78B" w:rsidP="4DCF16DC">
            <w:pPr>
              <w:spacing w:line="276" w:lineRule="auto"/>
              <w:rPr>
                <w:rFonts w:eastAsiaTheme="minorEastAsia"/>
                <w:sz w:val="18"/>
                <w:szCs w:val="18"/>
              </w:rPr>
            </w:pPr>
            <w:r w:rsidRPr="4DCF16DC">
              <w:rPr>
                <w:rFonts w:eastAsiaTheme="minorEastAsia"/>
                <w:sz w:val="18"/>
                <w:szCs w:val="18"/>
              </w:rPr>
              <w:t xml:space="preserve">3 – potencijalno koristan </w:t>
            </w:r>
          </w:p>
          <w:p w14:paraId="054F4F4A" w14:textId="61CC58F1" w:rsidR="0752BA49" w:rsidRDefault="1BFBD78B" w:rsidP="4DCF16DC">
            <w:pPr>
              <w:spacing w:line="276" w:lineRule="auto"/>
              <w:rPr>
                <w:rFonts w:eastAsiaTheme="minorEastAsia"/>
                <w:sz w:val="18"/>
                <w:szCs w:val="18"/>
              </w:rPr>
            </w:pPr>
            <w:r w:rsidRPr="4DCF16DC">
              <w:rPr>
                <w:rFonts w:eastAsiaTheme="minorEastAsia"/>
                <w:sz w:val="18"/>
                <w:szCs w:val="18"/>
              </w:rPr>
              <w:t>4 – ima zanimljiv dio</w:t>
            </w: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0C1F8EF1" w14:textId="6DB9844A" w:rsidR="0752BA49" w:rsidRDefault="1BFBD78B" w:rsidP="4DCF16DC">
            <w:pPr>
              <w:spacing w:line="276" w:lineRule="auto"/>
              <w:rPr>
                <w:rFonts w:eastAsiaTheme="minorEastAsia"/>
                <w:sz w:val="18"/>
                <w:szCs w:val="18"/>
              </w:rPr>
            </w:pPr>
            <w:r w:rsidRPr="4DCF16DC">
              <w:rPr>
                <w:rFonts w:eastAsiaTheme="minorEastAsia"/>
                <w:sz w:val="18"/>
                <w:szCs w:val="18"/>
              </w:rPr>
              <w:t xml:space="preserve"> </w:t>
            </w:r>
          </w:p>
          <w:p w14:paraId="244ABA45" w14:textId="3353A250" w:rsidR="0752BA49" w:rsidRDefault="1BFBD78B" w:rsidP="4DCF16DC">
            <w:pPr>
              <w:spacing w:line="276" w:lineRule="auto"/>
              <w:rPr>
                <w:rFonts w:eastAsiaTheme="minorEastAsia"/>
                <w:sz w:val="18"/>
                <w:szCs w:val="18"/>
              </w:rPr>
            </w:pPr>
            <w:r w:rsidRPr="4DCF16DC">
              <w:rPr>
                <w:rFonts w:eastAsiaTheme="minorEastAsia"/>
                <w:b/>
                <w:bCs/>
                <w:sz w:val="18"/>
                <w:szCs w:val="18"/>
                <w:lang w:val="hr"/>
              </w:rPr>
              <w:t xml:space="preserve">  2</w:t>
            </w:r>
            <w:r w:rsidRPr="4DCF16DC">
              <w:rPr>
                <w:rFonts w:eastAsiaTheme="minorEastAsia"/>
                <w:sz w:val="18"/>
                <w:szCs w:val="18"/>
              </w:rPr>
              <w:t xml:space="preserve"> </w:t>
            </w:r>
          </w:p>
        </w:tc>
      </w:tr>
      <w:tr w:rsidR="0752BA49" w14:paraId="03996901"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36F767E1" w14:textId="4E4F1E3B" w:rsidR="0752BA49" w:rsidRDefault="1BFBD78B" w:rsidP="4DCF16DC">
            <w:pPr>
              <w:spacing w:line="276" w:lineRule="auto"/>
              <w:rPr>
                <w:rFonts w:eastAsiaTheme="minorEastAsia"/>
                <w:sz w:val="18"/>
                <w:szCs w:val="18"/>
              </w:rPr>
            </w:pPr>
            <w:r w:rsidRPr="4DCF16DC">
              <w:rPr>
                <w:rFonts w:eastAsiaTheme="minorEastAsia"/>
                <w:b/>
                <w:bCs/>
                <w:sz w:val="18"/>
                <w:szCs w:val="18"/>
                <w:lang w:val="hr"/>
              </w:rPr>
              <w:t>Sažetak (kopija)</w:t>
            </w:r>
            <w:r w:rsidRPr="4DCF16DC">
              <w:rPr>
                <w:rFonts w:eastAsiaTheme="minorEastAsia"/>
                <w:sz w:val="18"/>
                <w:szCs w:val="18"/>
              </w:rPr>
              <w:t xml:space="preserve"> </w:t>
            </w:r>
          </w:p>
          <w:p w14:paraId="4A77251B" w14:textId="7F75B88A"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7DCEAFE4" w14:textId="50D8B66F"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Physical literacy is understood to be important for adolescents’ behavioral and psychological wellness. Yet, to date, limited empirical data exist to support such reasoning. Addressing this gap, the present study examined relationships between physical literacy and early adolescents’ physical education engagement, leisure-time exercise behavior, and psychological well being. Methods: The physical literacy level of 187 early adolescents (Mage = 12.84, SD = 0.55, girls= 99) was measured using the Canadian Assessment for Physical Literacy. One week later, data pertaining to standardized measures of engagement in physical education, leisure-time exercise behavior, and psychological well-being were collected. Results: Structural equation modeling revealed that physical literacy was positively correlated with physical education engagement, leisure-time exercise, positive affect, and vitality, whereas it was negatively correlated with negative affect. Conclusion: The findings from this work substantiate the contention that physical literacy has manifold benefits for early adolescents’ behavioral and psychological wellness</w:t>
            </w:r>
          </w:p>
        </w:tc>
      </w:tr>
      <w:tr w:rsidR="0752BA49" w14:paraId="0E75840D"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1D7F65A2" w14:textId="0C87A52D" w:rsidR="0752BA49" w:rsidRDefault="1BFBD78B" w:rsidP="4DCF16DC">
            <w:pPr>
              <w:spacing w:line="276" w:lineRule="auto"/>
              <w:rPr>
                <w:rFonts w:eastAsiaTheme="minorEastAsia"/>
                <w:sz w:val="18"/>
                <w:szCs w:val="18"/>
              </w:rPr>
            </w:pPr>
            <w:r w:rsidRPr="4DCF16DC">
              <w:rPr>
                <w:rFonts w:eastAsiaTheme="minorEastAsia"/>
                <w:b/>
                <w:bCs/>
                <w:sz w:val="18"/>
                <w:szCs w:val="18"/>
              </w:rPr>
              <w:t>Ključne riječi</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64AFDF11" w14:textId="4E9145E1" w:rsidR="0752BA49" w:rsidRDefault="1BFBD78B" w:rsidP="4DCF16DC">
            <w:pPr>
              <w:spacing w:line="276" w:lineRule="auto"/>
              <w:rPr>
                <w:rFonts w:eastAsiaTheme="minorEastAsia"/>
                <w:sz w:val="18"/>
                <w:szCs w:val="18"/>
              </w:rPr>
            </w:pPr>
            <w:r w:rsidRPr="4DCF16DC">
              <w:rPr>
                <w:rFonts w:eastAsiaTheme="minorEastAsia"/>
                <w:sz w:val="18"/>
                <w:szCs w:val="18"/>
              </w:rPr>
              <w:t>Tjelesna pismenost, rana adolescencija, mentalno zdravlje, ponašanje, tjelesna I zdravstvena kultura, tjelesna aktivnost</w:t>
            </w:r>
          </w:p>
        </w:tc>
      </w:tr>
      <w:tr w:rsidR="0752BA49" w14:paraId="3AB3486F"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224C74E1" w14:textId="226915C5" w:rsidR="0752BA49" w:rsidRDefault="1BFBD78B" w:rsidP="4DCF16DC">
            <w:pPr>
              <w:spacing w:line="276" w:lineRule="auto"/>
              <w:rPr>
                <w:rFonts w:eastAsiaTheme="minorEastAsia"/>
                <w:sz w:val="18"/>
                <w:szCs w:val="18"/>
              </w:rPr>
            </w:pPr>
            <w:r w:rsidRPr="4DCF16DC">
              <w:rPr>
                <w:rFonts w:eastAsiaTheme="minorEastAsia"/>
                <w:b/>
                <w:bCs/>
                <w:sz w:val="18"/>
                <w:szCs w:val="18"/>
                <w:lang w:val="hr"/>
              </w:rPr>
              <w:t>Kratki opis</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02DBDA17" w14:textId="72786D10"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Istraživanje je ispitivalo povezanost tjelesne pismenosti i ponašanja te psihološkog blagostanja kod ranih adolescenata. U studiji je sudjelovalo 187 učenika (prosječna dob 12,84 godine, 99 djevojčica). Tjelesna pismenost mjerena je kanadskom procjenom tjelesne pismenosti (CAPL), a tjedan dana kasnije prikupljeni su podaci o angažmanu u tjelesnom odgoju, vježbanju u slobodno vrijeme i psihološkom blagostanju. Analiza je pokazala da je tjelesna pismenost pozitivno povezana s angažmanom u tjelesnom odgoju, vježbanjem u slobodno vrijeme, pozitivnim afektom i vitalnošću, dok je negativno povezana s negativnim afektom. Zaključak je da tjelesna pismenost ima višestruke koristi za ponašanje i psihološko zdravlje ranih adolescenata.</w:t>
            </w:r>
          </w:p>
        </w:tc>
      </w:tr>
      <w:tr w:rsidR="0752BA49" w14:paraId="2F35EB38"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0D6ABE84" w14:textId="0BA48B4D" w:rsidR="0752BA49" w:rsidRDefault="1BFBD78B" w:rsidP="4DCF16DC">
            <w:pPr>
              <w:spacing w:line="276" w:lineRule="auto"/>
              <w:rPr>
                <w:rFonts w:eastAsiaTheme="minorEastAsia"/>
                <w:sz w:val="18"/>
                <w:szCs w:val="18"/>
              </w:rPr>
            </w:pPr>
            <w:r w:rsidRPr="4DCF16DC">
              <w:rPr>
                <w:rFonts w:eastAsiaTheme="minorEastAsia"/>
                <w:b/>
                <w:bCs/>
                <w:sz w:val="18"/>
                <w:szCs w:val="18"/>
              </w:rPr>
              <w:t>Ključni nalazi</w:t>
            </w:r>
            <w:r w:rsidRPr="4DCF16DC">
              <w:rPr>
                <w:rFonts w:eastAsiaTheme="minorEastAsia"/>
                <w:sz w:val="18"/>
                <w:szCs w:val="18"/>
              </w:rPr>
              <w:t xml:space="preserve"> </w:t>
            </w:r>
          </w:p>
          <w:p w14:paraId="20D2FBA6" w14:textId="47FB59EE"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63745F49" w14:textId="132EF7DA"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Ova studija doprinosi vrlo ograničenom skupu empirijskih istraživanja koja ispituju korelate tjelesne pismenosti kod ranih adolescenata. Trenutni nalazi pokazuju da tjelesna pismenost doprinosi nizu prilagodbenih ishoda, uključujući angažman u tjelesnom odgoju, vježbanje u slobodno vrijeme i psihološko blagostanje. Rezultati podržavaju dugotrajnu tvrdnju da tjelesna pismenost doprinosi razvoju, zdravlju i dobrobiti mladih ljudi. Razvoj tjelesne pismenosti treba biti cilj ranih intervencija.</w:t>
            </w:r>
          </w:p>
        </w:tc>
      </w:tr>
      <w:tr w:rsidR="0752BA49" w14:paraId="01944E29"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1CC0E335" w14:textId="721AEC9D" w:rsidR="0752BA49" w:rsidRDefault="1BFBD78B" w:rsidP="4DCF16DC">
            <w:pPr>
              <w:spacing w:line="276" w:lineRule="auto"/>
              <w:rPr>
                <w:rFonts w:eastAsiaTheme="minorEastAsia"/>
                <w:sz w:val="18"/>
                <w:szCs w:val="18"/>
                <w:lang w:val="it"/>
              </w:rPr>
            </w:pPr>
            <w:r w:rsidRPr="4DCF16DC">
              <w:rPr>
                <w:rFonts w:eastAsiaTheme="minorEastAsia"/>
                <w:b/>
                <w:bCs/>
                <w:sz w:val="18"/>
                <w:szCs w:val="18"/>
                <w:lang w:val="it"/>
              </w:rPr>
              <w:t>Kako može koristiti na MentiFit projektu?</w:t>
            </w:r>
            <w:r w:rsidRPr="4DCF16DC">
              <w:rPr>
                <w:rFonts w:eastAsiaTheme="minorEastAsia"/>
                <w:b/>
                <w:bCs/>
                <w:sz w:val="18"/>
                <w:szCs w:val="18"/>
                <w:lang w:val="hr"/>
              </w:rPr>
              <w:t> </w:t>
            </w:r>
            <w:r w:rsidRPr="4DCF16DC">
              <w:rPr>
                <w:rFonts w:eastAsiaTheme="minorEastAsia"/>
                <w:sz w:val="18"/>
                <w:szCs w:val="18"/>
                <w:lang w:val="it"/>
              </w:rPr>
              <w:t xml:space="preserve"> </w:t>
            </w:r>
          </w:p>
          <w:p w14:paraId="606D0972" w14:textId="5E6C94EA"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280C8701" w14:textId="32A8E189"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 xml:space="preserve">Možda da provjerimo naše rezultate s obzirom na ranu i kasnu adolescenciju. </w:t>
            </w:r>
          </w:p>
        </w:tc>
      </w:tr>
      <w:tr w:rsidR="0752BA49" w14:paraId="44DF32D5" w14:textId="77777777" w:rsidTr="4DCF16DC">
        <w:trPr>
          <w:trHeight w:val="285"/>
          <w:jc w:val="center"/>
        </w:trPr>
        <w:tc>
          <w:tcPr>
            <w:tcW w:w="3013" w:type="dxa"/>
            <w:tcBorders>
              <w:top w:val="single" w:sz="8" w:space="0" w:color="auto"/>
              <w:left w:val="single" w:sz="8" w:space="0" w:color="auto"/>
              <w:bottom w:val="single" w:sz="8" w:space="0" w:color="auto"/>
              <w:right w:val="single" w:sz="8" w:space="0" w:color="auto"/>
            </w:tcBorders>
          </w:tcPr>
          <w:p w14:paraId="22170B65" w14:textId="71EBF302" w:rsidR="0752BA49" w:rsidRDefault="1BFBD78B" w:rsidP="4DCF16DC">
            <w:pPr>
              <w:spacing w:line="276" w:lineRule="auto"/>
              <w:rPr>
                <w:rFonts w:eastAsiaTheme="minorEastAsia"/>
                <w:sz w:val="18"/>
                <w:szCs w:val="18"/>
              </w:rPr>
            </w:pPr>
            <w:r w:rsidRPr="4DCF16DC">
              <w:rPr>
                <w:rFonts w:eastAsiaTheme="minorEastAsia"/>
                <w:b/>
                <w:bCs/>
                <w:sz w:val="18"/>
                <w:szCs w:val="18"/>
              </w:rPr>
              <w:t>Komentar, pitanje… </w:t>
            </w:r>
            <w:r w:rsidRPr="4DCF16DC">
              <w:rPr>
                <w:rFonts w:eastAsiaTheme="minorEastAsia"/>
                <w:b/>
                <w:bCs/>
                <w:sz w:val="18"/>
                <w:szCs w:val="18"/>
                <w:lang w:val="hr"/>
              </w:rPr>
              <w:t> </w:t>
            </w:r>
            <w:r w:rsidRPr="4DCF16DC">
              <w:rPr>
                <w:rFonts w:eastAsiaTheme="minorEastAsia"/>
                <w:sz w:val="18"/>
                <w:szCs w:val="18"/>
              </w:rPr>
              <w:t xml:space="preserve"> </w:t>
            </w:r>
          </w:p>
        </w:tc>
        <w:tc>
          <w:tcPr>
            <w:tcW w:w="6058" w:type="dxa"/>
            <w:tcBorders>
              <w:top w:val="single" w:sz="8" w:space="0" w:color="auto"/>
              <w:left w:val="single" w:sz="8" w:space="0" w:color="auto"/>
              <w:bottom w:val="single" w:sz="8" w:space="0" w:color="auto"/>
              <w:right w:val="single" w:sz="8" w:space="0" w:color="auto"/>
            </w:tcBorders>
          </w:tcPr>
          <w:p w14:paraId="594DB79C" w14:textId="38286900" w:rsidR="0752BA49" w:rsidRDefault="1BFBD78B" w:rsidP="4DCF16DC">
            <w:pPr>
              <w:spacing w:line="276" w:lineRule="auto"/>
              <w:rPr>
                <w:rFonts w:eastAsiaTheme="minorEastAsia"/>
                <w:sz w:val="18"/>
                <w:szCs w:val="18"/>
                <w:lang w:val="it-IT"/>
              </w:rPr>
            </w:pPr>
            <w:r w:rsidRPr="4DCF16DC">
              <w:rPr>
                <w:rFonts w:eastAsiaTheme="minorEastAsia"/>
                <w:sz w:val="18"/>
                <w:szCs w:val="18"/>
                <w:lang w:val="it-IT"/>
              </w:rPr>
              <w:t>Istražiti to pitanje na većem, relevantnom uzorku.</w:t>
            </w:r>
          </w:p>
        </w:tc>
      </w:tr>
    </w:tbl>
    <w:p w14:paraId="231595C7" w14:textId="3048A389" w:rsidR="0752BA49" w:rsidRDefault="0752BA49"/>
    <w:p w14:paraId="2AE5BD4D" w14:textId="248BF5E9" w:rsidR="0752BA49" w:rsidRDefault="0752BA49"/>
    <w:p w14:paraId="2646B9EF" w14:textId="150B736B" w:rsidR="0752BA49" w:rsidRDefault="0752BA49"/>
    <w:tbl>
      <w:tblPr>
        <w:tblW w:w="9071"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3"/>
        <w:gridCol w:w="6008"/>
      </w:tblGrid>
      <w:tr w:rsidR="0752BA49" w14:paraId="12AB902C" w14:textId="77777777" w:rsidTr="4DCF16DC">
        <w:trPr>
          <w:trHeight w:val="1230"/>
          <w:jc w:val="center"/>
        </w:trPr>
        <w:tc>
          <w:tcPr>
            <w:tcW w:w="3063" w:type="dxa"/>
            <w:tcBorders>
              <w:top w:val="single" w:sz="8" w:space="0" w:color="auto"/>
              <w:left w:val="single" w:sz="8" w:space="0" w:color="auto"/>
              <w:bottom w:val="single" w:sz="8" w:space="0" w:color="auto"/>
              <w:right w:val="single" w:sz="8" w:space="0" w:color="auto"/>
            </w:tcBorders>
          </w:tcPr>
          <w:p w14:paraId="40F3B118" w14:textId="622B8297" w:rsidR="33D10D42" w:rsidRDefault="33D10D42" w:rsidP="4DCF16DC">
            <w:pPr>
              <w:spacing w:line="276" w:lineRule="auto"/>
              <w:rPr>
                <w:rFonts w:eastAsiaTheme="minorEastAsia"/>
                <w:sz w:val="18"/>
                <w:szCs w:val="18"/>
              </w:rPr>
            </w:pPr>
            <w:r w:rsidRPr="4DCF16DC">
              <w:rPr>
                <w:rFonts w:eastAsiaTheme="minorEastAsia"/>
                <w:b/>
                <w:bCs/>
                <w:sz w:val="18"/>
                <w:szCs w:val="18"/>
                <w:lang w:val="hr"/>
              </w:rPr>
              <w:t>Referenca</w:t>
            </w:r>
            <w:r w:rsidR="1BFBD78B" w:rsidRPr="4DCF16DC">
              <w:rPr>
                <w:rFonts w:eastAsiaTheme="minorEastAsia"/>
                <w:b/>
                <w:bCs/>
                <w:sz w:val="18"/>
                <w:szCs w:val="18"/>
                <w:lang w:val="hr"/>
              </w:rPr>
              <w:t> </w:t>
            </w:r>
            <w:r w:rsidR="1BFBD78B"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1293039E" w14:textId="60C115C0" w:rsidR="0752BA49" w:rsidRDefault="0EBEC090" w:rsidP="4DCF16DC">
            <w:pPr>
              <w:spacing w:line="276" w:lineRule="auto"/>
              <w:rPr>
                <w:rFonts w:eastAsiaTheme="minorEastAsia"/>
                <w:sz w:val="18"/>
                <w:szCs w:val="18"/>
                <w:lang w:val="en-US"/>
              </w:rPr>
            </w:pPr>
            <w:r w:rsidRPr="4DCF16DC">
              <w:rPr>
                <w:rFonts w:eastAsiaTheme="minorEastAsia"/>
                <w:sz w:val="18"/>
                <w:szCs w:val="18"/>
                <w:lang w:val="en-US"/>
              </w:rPr>
              <w:t xml:space="preserve">Clark, H. J., Dudley, D., Barratt, J., &amp; Cairney, J. (2022). Physical literacy predicts the physical activity and sedentary behaviours of youth. </w:t>
            </w:r>
            <w:r w:rsidRPr="4DCF16DC">
              <w:rPr>
                <w:rFonts w:eastAsiaTheme="minorEastAsia"/>
                <w:i/>
                <w:iCs/>
                <w:sz w:val="18"/>
                <w:szCs w:val="18"/>
                <w:lang w:val="en-US"/>
              </w:rPr>
              <w:t>Journal of Science and Medicine in Sport, 25</w:t>
            </w:r>
            <w:r w:rsidRPr="4DCF16DC">
              <w:rPr>
                <w:rFonts w:eastAsiaTheme="minorEastAsia"/>
                <w:sz w:val="18"/>
                <w:szCs w:val="18"/>
                <w:lang w:val="en-US"/>
              </w:rPr>
              <w:t xml:space="preserve">(9), 750–754. </w:t>
            </w:r>
            <w:hyperlink r:id="rId46">
              <w:r w:rsidRPr="4DCF16DC">
                <w:rPr>
                  <w:rStyle w:val="Hiperveza"/>
                  <w:rFonts w:eastAsiaTheme="minorEastAsia"/>
                  <w:sz w:val="18"/>
                  <w:szCs w:val="18"/>
                  <w:lang w:val="en-US"/>
                </w:rPr>
                <w:t>https://doi.org/10.1016/j.jsams.2022.04.008</w:t>
              </w:r>
            </w:hyperlink>
          </w:p>
        </w:tc>
      </w:tr>
      <w:tr w:rsidR="0752BA49" w14:paraId="56450B9E"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6809C231" w14:textId="00DAFD53" w:rsidR="0752BA49" w:rsidRDefault="1BFBD78B" w:rsidP="4DCF16DC">
            <w:pPr>
              <w:spacing w:line="276" w:lineRule="auto"/>
              <w:rPr>
                <w:rFonts w:eastAsiaTheme="minorEastAsia"/>
                <w:sz w:val="18"/>
                <w:szCs w:val="18"/>
              </w:rPr>
            </w:pPr>
            <w:r w:rsidRPr="4DCF16DC">
              <w:rPr>
                <w:rFonts w:eastAsiaTheme="minorEastAsia"/>
                <w:b/>
                <w:bCs/>
                <w:sz w:val="18"/>
                <w:szCs w:val="18"/>
              </w:rPr>
              <w:t>Link</w:t>
            </w: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30A29565" w14:textId="0C7A87DC" w:rsidR="0752BA49" w:rsidRDefault="000D719D" w:rsidP="4DCF16DC">
            <w:pPr>
              <w:spacing w:line="276" w:lineRule="auto"/>
              <w:rPr>
                <w:rFonts w:eastAsiaTheme="minorEastAsia"/>
                <w:sz w:val="18"/>
                <w:szCs w:val="18"/>
              </w:rPr>
            </w:pPr>
            <w:hyperlink r:id="rId47">
              <w:r w:rsidR="1BFBD78B" w:rsidRPr="4DCF16DC">
                <w:rPr>
                  <w:rStyle w:val="Hiperveza"/>
                  <w:rFonts w:eastAsiaTheme="minorEastAsia"/>
                  <w:color w:val="467886"/>
                  <w:sz w:val="18"/>
                  <w:szCs w:val="18"/>
                </w:rPr>
                <w:t>https://pubmed.ncbi.nlm.nih.gov/35934659/</w:t>
              </w:r>
            </w:hyperlink>
            <w:r w:rsidR="1BFBD78B" w:rsidRPr="4DCF16DC">
              <w:rPr>
                <w:rFonts w:eastAsiaTheme="minorEastAsia"/>
                <w:sz w:val="18"/>
                <w:szCs w:val="18"/>
              </w:rPr>
              <w:t xml:space="preserve"> </w:t>
            </w:r>
          </w:p>
        </w:tc>
      </w:tr>
      <w:tr w:rsidR="0752BA49" w14:paraId="07CCFC87"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3E926C37" w14:textId="0860CCDA" w:rsidR="0752BA49" w:rsidRDefault="1BFBD78B" w:rsidP="4DCF16DC">
            <w:pPr>
              <w:spacing w:line="276" w:lineRule="auto"/>
              <w:rPr>
                <w:rFonts w:eastAsiaTheme="minorEastAsia"/>
                <w:sz w:val="18"/>
                <w:szCs w:val="18"/>
              </w:rPr>
            </w:pPr>
            <w:r w:rsidRPr="4DCF16DC">
              <w:rPr>
                <w:rFonts w:eastAsiaTheme="minorEastAsia"/>
                <w:b/>
                <w:bCs/>
                <w:sz w:val="18"/>
                <w:szCs w:val="18"/>
              </w:rPr>
              <w:t>Područje-tema</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353AC463" w14:textId="07F8051F"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Tjelesna pismenost i njezin utjecaj na količinu dnevne TA i sedentarnog ponašanja</w:t>
            </w:r>
          </w:p>
        </w:tc>
      </w:tr>
      <w:tr w:rsidR="0752BA49" w14:paraId="4A727538"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5A92BE67" w14:textId="1CBC095E" w:rsidR="0752BA49" w:rsidRDefault="1BFBD78B" w:rsidP="4DCF16DC">
            <w:pPr>
              <w:spacing w:line="276" w:lineRule="auto"/>
              <w:rPr>
                <w:rFonts w:eastAsiaTheme="minorEastAsia"/>
                <w:sz w:val="18"/>
                <w:szCs w:val="18"/>
              </w:rPr>
            </w:pPr>
            <w:r w:rsidRPr="4DCF16DC">
              <w:rPr>
                <w:rFonts w:eastAsiaTheme="minorEastAsia"/>
                <w:b/>
                <w:bCs/>
                <w:sz w:val="18"/>
                <w:szCs w:val="18"/>
              </w:rPr>
              <w:t>Pripremila/pripremio</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212F986A" w14:textId="002C31BA" w:rsidR="0752BA49" w:rsidRDefault="1BFBD78B" w:rsidP="4DCF16DC">
            <w:pPr>
              <w:spacing w:line="276" w:lineRule="auto"/>
              <w:rPr>
                <w:rFonts w:eastAsiaTheme="minorEastAsia"/>
                <w:sz w:val="18"/>
                <w:szCs w:val="18"/>
              </w:rPr>
            </w:pPr>
            <w:r w:rsidRPr="4DCF16DC">
              <w:rPr>
                <w:rFonts w:eastAsiaTheme="minorEastAsia"/>
                <w:sz w:val="18"/>
                <w:szCs w:val="18"/>
                <w:lang w:val="hr"/>
              </w:rPr>
              <w:t>Tatjana Trošt</w:t>
            </w:r>
            <w:r w:rsidRPr="4DCF16DC">
              <w:rPr>
                <w:rFonts w:eastAsiaTheme="minorEastAsia"/>
                <w:sz w:val="18"/>
                <w:szCs w:val="18"/>
              </w:rPr>
              <w:t xml:space="preserve"> </w:t>
            </w:r>
          </w:p>
        </w:tc>
      </w:tr>
      <w:tr w:rsidR="0752BA49" w14:paraId="722C117F"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52109EEE" w14:textId="31B0D9B1" w:rsidR="0752BA49" w:rsidRDefault="1BFBD78B" w:rsidP="4DCF16DC">
            <w:pPr>
              <w:spacing w:line="276" w:lineRule="auto"/>
              <w:rPr>
                <w:rFonts w:eastAsiaTheme="minorEastAsia"/>
                <w:sz w:val="18"/>
                <w:szCs w:val="18"/>
              </w:rPr>
            </w:pPr>
            <w:r w:rsidRPr="4DCF16DC">
              <w:rPr>
                <w:rFonts w:eastAsiaTheme="minorEastAsia"/>
                <w:b/>
                <w:bCs/>
                <w:sz w:val="18"/>
                <w:szCs w:val="18"/>
              </w:rPr>
              <w:t>Categorisation</w:t>
            </w:r>
            <w:r w:rsidRPr="4DCF16DC">
              <w:rPr>
                <w:rFonts w:eastAsiaTheme="minorEastAsia"/>
                <w:b/>
                <w:bCs/>
                <w:sz w:val="18"/>
                <w:szCs w:val="18"/>
                <w:lang w:val="hr"/>
              </w:rPr>
              <w:t> </w:t>
            </w:r>
            <w:r w:rsidRPr="4DCF16DC">
              <w:rPr>
                <w:rFonts w:eastAsiaTheme="minorEastAsia"/>
                <w:sz w:val="18"/>
                <w:szCs w:val="18"/>
              </w:rPr>
              <w:t xml:space="preserve"> </w:t>
            </w:r>
          </w:p>
          <w:p w14:paraId="3F6EFD2C" w14:textId="0274A7A5" w:rsidR="0752BA49" w:rsidRDefault="1BFBD78B" w:rsidP="4DCF16DC">
            <w:pPr>
              <w:spacing w:line="276" w:lineRule="auto"/>
              <w:rPr>
                <w:rFonts w:eastAsiaTheme="minorEastAsia"/>
                <w:sz w:val="18"/>
                <w:szCs w:val="18"/>
              </w:rPr>
            </w:pPr>
            <w:r w:rsidRPr="4DCF16DC">
              <w:rPr>
                <w:rFonts w:eastAsiaTheme="minorEastAsia"/>
                <w:sz w:val="18"/>
                <w:szCs w:val="18"/>
              </w:rPr>
              <w:t xml:space="preserve">1 – esencijalan </w:t>
            </w:r>
          </w:p>
          <w:p w14:paraId="4C21C6BE" w14:textId="6D24FBB5" w:rsidR="0752BA49" w:rsidRDefault="1BFBD78B" w:rsidP="4DCF16DC">
            <w:pPr>
              <w:spacing w:line="276" w:lineRule="auto"/>
              <w:rPr>
                <w:rFonts w:eastAsiaTheme="minorEastAsia"/>
                <w:sz w:val="18"/>
                <w:szCs w:val="18"/>
              </w:rPr>
            </w:pPr>
            <w:r w:rsidRPr="4DCF16DC">
              <w:rPr>
                <w:rFonts w:eastAsiaTheme="minorEastAsia"/>
                <w:sz w:val="18"/>
                <w:szCs w:val="18"/>
              </w:rPr>
              <w:t xml:space="preserve">2 – koristan </w:t>
            </w:r>
          </w:p>
          <w:p w14:paraId="340FA4D3" w14:textId="214FCD55" w:rsidR="0752BA49" w:rsidRDefault="1BFBD78B" w:rsidP="4DCF16DC">
            <w:pPr>
              <w:spacing w:line="276" w:lineRule="auto"/>
              <w:rPr>
                <w:rFonts w:eastAsiaTheme="minorEastAsia"/>
                <w:sz w:val="18"/>
                <w:szCs w:val="18"/>
              </w:rPr>
            </w:pPr>
            <w:r w:rsidRPr="4DCF16DC">
              <w:rPr>
                <w:rFonts w:eastAsiaTheme="minorEastAsia"/>
                <w:sz w:val="18"/>
                <w:szCs w:val="18"/>
              </w:rPr>
              <w:t xml:space="preserve">3 – potencijalno koristan </w:t>
            </w:r>
          </w:p>
          <w:p w14:paraId="5A9BB4DB" w14:textId="7783EBDF" w:rsidR="0752BA49" w:rsidRDefault="1BFBD78B" w:rsidP="4DCF16DC">
            <w:pPr>
              <w:spacing w:line="276" w:lineRule="auto"/>
              <w:rPr>
                <w:rFonts w:eastAsiaTheme="minorEastAsia"/>
                <w:sz w:val="18"/>
                <w:szCs w:val="18"/>
              </w:rPr>
            </w:pPr>
            <w:r w:rsidRPr="4DCF16DC">
              <w:rPr>
                <w:rFonts w:eastAsiaTheme="minorEastAsia"/>
                <w:sz w:val="18"/>
                <w:szCs w:val="18"/>
              </w:rPr>
              <w:t>4 – ima zanimljiv dio</w:t>
            </w: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0DC3405B" w14:textId="7222B7D2" w:rsidR="0752BA49" w:rsidRDefault="1BFBD78B" w:rsidP="4DCF16DC">
            <w:pPr>
              <w:spacing w:line="276" w:lineRule="auto"/>
              <w:rPr>
                <w:rFonts w:eastAsiaTheme="minorEastAsia"/>
                <w:sz w:val="18"/>
                <w:szCs w:val="18"/>
              </w:rPr>
            </w:pPr>
            <w:r w:rsidRPr="4DCF16DC">
              <w:rPr>
                <w:rFonts w:eastAsiaTheme="minorEastAsia"/>
                <w:sz w:val="18"/>
                <w:szCs w:val="18"/>
              </w:rPr>
              <w:t xml:space="preserve"> </w:t>
            </w:r>
          </w:p>
          <w:p w14:paraId="7B74E2D7" w14:textId="558D83F1" w:rsidR="0752BA49" w:rsidRDefault="1BFBD78B" w:rsidP="4DCF16DC">
            <w:pPr>
              <w:spacing w:line="276" w:lineRule="auto"/>
              <w:rPr>
                <w:rFonts w:eastAsiaTheme="minorEastAsia"/>
                <w:b/>
                <w:bCs/>
                <w:sz w:val="18"/>
                <w:szCs w:val="18"/>
                <w:lang w:val="hr"/>
              </w:rPr>
            </w:pPr>
            <w:r w:rsidRPr="4DCF16DC">
              <w:rPr>
                <w:rFonts w:eastAsiaTheme="minorEastAsia"/>
                <w:b/>
                <w:bCs/>
                <w:sz w:val="18"/>
                <w:szCs w:val="18"/>
                <w:lang w:val="hr"/>
              </w:rPr>
              <w:t xml:space="preserve">  1</w:t>
            </w:r>
          </w:p>
        </w:tc>
      </w:tr>
      <w:tr w:rsidR="0752BA49" w14:paraId="0BB51068"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05419902" w14:textId="431D00AF" w:rsidR="0752BA49" w:rsidRDefault="1BFBD78B" w:rsidP="4DCF16DC">
            <w:pPr>
              <w:spacing w:line="276" w:lineRule="auto"/>
              <w:rPr>
                <w:rFonts w:eastAsiaTheme="minorEastAsia"/>
                <w:sz w:val="18"/>
                <w:szCs w:val="18"/>
              </w:rPr>
            </w:pPr>
            <w:r w:rsidRPr="4DCF16DC">
              <w:rPr>
                <w:rFonts w:eastAsiaTheme="minorEastAsia"/>
                <w:b/>
                <w:bCs/>
                <w:sz w:val="18"/>
                <w:szCs w:val="18"/>
                <w:lang w:val="hr"/>
              </w:rPr>
              <w:t>Sažetak (kopija)</w:t>
            </w:r>
            <w:r w:rsidRPr="4DCF16DC">
              <w:rPr>
                <w:rFonts w:eastAsiaTheme="minorEastAsia"/>
                <w:sz w:val="18"/>
                <w:szCs w:val="18"/>
              </w:rPr>
              <w:t xml:space="preserve"> </w:t>
            </w:r>
          </w:p>
          <w:p w14:paraId="098A3EEE" w14:textId="0F9313ED"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7C176143" w14:textId="22ED4A4C"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Objectives: This study examined the physical activity (PA) and sedentary behaviour (SB) along with the developmental progression of 2,087 Canadian students. It also examined whether their physical literacy (PL) predicts latent class affiliations and transition probabilities from grades 5 to 6 and whether this affiliation in grade 6 predicts body mass index (BMI) and self-concept by grade 7.</w:t>
            </w:r>
          </w:p>
          <w:p w14:paraId="3A84EC89" w14:textId="6C53AA8E"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Design: Longitudinal observational study.</w:t>
            </w:r>
          </w:p>
          <w:p w14:paraId="57E42F15" w14:textId="2DD18B3F"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Methods: Data was collected from a longitudinal open cohort study using data from three waves of data. In grades 5 and 6 we examined patterns of PA and SB behaviour and their correlates. In grade 7 we examined outcomes associated with latent class affiliation.</w:t>
            </w:r>
          </w:p>
          <w:p w14:paraId="09EF6BBE" w14:textId="2C42A82D"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Results: Our results found a validated measure of PL was a robust predictor of class affiliation and transitions between classes across grade and sex. Students with higher PL were two to four times more likely to be in the active screeners (AS) or low SB class compared to the sedentary/inactive (SI) class in both grades 5 and 6. For females, PL was also related to transitioning out of the SI class and into the AS. PL did not predict transitions out of the low SB class. Class affiliation in grade 6 also predicted BMI and self-concept in grade 7. Students in the SI class had higher BMI and lower self-concept compared to students in AS and low SB classes.</w:t>
            </w:r>
          </w:p>
          <w:p w14:paraId="6785D153" w14:textId="35A0E1E3" w:rsidR="0752BA49" w:rsidRDefault="1BFBD78B" w:rsidP="4DCF16DC">
            <w:pPr>
              <w:spacing w:line="276" w:lineRule="auto"/>
              <w:rPr>
                <w:rFonts w:eastAsiaTheme="minorEastAsia"/>
                <w:sz w:val="18"/>
                <w:szCs w:val="18"/>
                <w:lang w:val="en-US"/>
              </w:rPr>
            </w:pPr>
            <w:r w:rsidRPr="4DCF16DC">
              <w:rPr>
                <w:rFonts w:eastAsiaTheme="minorEastAsia"/>
                <w:sz w:val="18"/>
                <w:szCs w:val="18"/>
                <w:lang w:val="en-US"/>
              </w:rPr>
              <w:t>Conclusions: Future research should assess additional domains of PL and utilize objective methods to measure PA.</w:t>
            </w:r>
          </w:p>
        </w:tc>
      </w:tr>
      <w:tr w:rsidR="0752BA49" w14:paraId="4B531C65"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213EBDCF" w14:textId="0F1DC397" w:rsidR="0752BA49" w:rsidRDefault="1BFBD78B" w:rsidP="4DCF16DC">
            <w:pPr>
              <w:spacing w:line="276" w:lineRule="auto"/>
              <w:rPr>
                <w:rFonts w:eastAsiaTheme="minorEastAsia"/>
                <w:sz w:val="18"/>
                <w:szCs w:val="18"/>
              </w:rPr>
            </w:pPr>
            <w:r w:rsidRPr="4DCF16DC">
              <w:rPr>
                <w:rFonts w:eastAsiaTheme="minorEastAsia"/>
                <w:b/>
                <w:bCs/>
                <w:sz w:val="18"/>
                <w:szCs w:val="18"/>
              </w:rPr>
              <w:t>Ključne riječi</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77C20BD9" w14:textId="5D7C26FB" w:rsidR="0752BA49" w:rsidRDefault="1BFBD78B" w:rsidP="4DCF16DC">
            <w:pPr>
              <w:spacing w:line="276" w:lineRule="auto"/>
              <w:rPr>
                <w:rFonts w:eastAsiaTheme="minorEastAsia"/>
                <w:sz w:val="18"/>
                <w:szCs w:val="18"/>
              </w:rPr>
            </w:pPr>
            <w:r w:rsidRPr="4DCF16DC">
              <w:rPr>
                <w:rFonts w:eastAsiaTheme="minorEastAsia"/>
                <w:sz w:val="18"/>
                <w:szCs w:val="18"/>
              </w:rPr>
              <w:t>Tjelesna pismenost, tjelesna aktivnost, sedentarno ponašanje</w:t>
            </w:r>
          </w:p>
        </w:tc>
      </w:tr>
      <w:tr w:rsidR="0752BA49" w14:paraId="10A03EA1"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61C27DC3" w14:textId="4D7797BD" w:rsidR="0752BA49" w:rsidRDefault="1BFBD78B" w:rsidP="4DCF16DC">
            <w:pPr>
              <w:spacing w:line="276" w:lineRule="auto"/>
              <w:rPr>
                <w:rFonts w:eastAsiaTheme="minorEastAsia"/>
                <w:sz w:val="18"/>
                <w:szCs w:val="18"/>
              </w:rPr>
            </w:pPr>
            <w:r w:rsidRPr="4DCF16DC">
              <w:rPr>
                <w:rFonts w:eastAsiaTheme="minorEastAsia"/>
                <w:b/>
                <w:bCs/>
                <w:sz w:val="18"/>
                <w:szCs w:val="18"/>
                <w:lang w:val="hr"/>
              </w:rPr>
              <w:t>Kratki opis</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2C77627E" w14:textId="3371A47B"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Ova longitudinalna studija pratila je 2.087 kanadskih učenika od 5. do 7. razreda kako bi istražila obrasce tjelesne aktivnosti i sjedilačkog ponašanja te utjecaj tjelesne pismenosti (PL) na te obrasce. Analizirano je kako PL predviđa pripadnost različitim skupinama ponašanja (latentnim klasama) i prijelaze između njih, te kako ta pripadnost u 6. razredu utječe na indeks tjelesne mase (BMI) i samopoimanje u 7. razredu. Rezultati su pokazali da je PL snažan prediktor pripadnosti aktivnijim skupinama i prelaska iz sjedeće/neudruge klase u aktivnije skupine, osobito kod djevojčica. Učenici s višom PL imali su veću vjerojatnost da budu u skupinama s većom aktivnošću i manjim sjedilačkim ponašanjem. Pripadnost skupini u 6. razredu predvidjela je BMI i samopoimanje u 7. razredu: učenici iz sjedeće/neudruge klase imali su viši BMI i niže samopoimanje. Zaključak je da tjelesna pismenost može biti važan čimbenik u oblikovanju zdravijih ponašanja i boljeg psihološkog stanja, uz preporuku da buduća istraživanja uključe dodatne domene PL-a i objektivne mjere tjelesne aktivnosti.</w:t>
            </w:r>
          </w:p>
        </w:tc>
      </w:tr>
      <w:tr w:rsidR="0752BA49" w14:paraId="035295B2"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527BE098" w14:textId="73A616A1" w:rsidR="0752BA49" w:rsidRDefault="1BFBD78B" w:rsidP="4DCF16DC">
            <w:pPr>
              <w:spacing w:line="276" w:lineRule="auto"/>
              <w:rPr>
                <w:rFonts w:eastAsiaTheme="minorEastAsia"/>
                <w:sz w:val="18"/>
                <w:szCs w:val="18"/>
              </w:rPr>
            </w:pPr>
            <w:r w:rsidRPr="4DCF16DC">
              <w:rPr>
                <w:rFonts w:eastAsiaTheme="minorEastAsia"/>
                <w:b/>
                <w:bCs/>
                <w:sz w:val="18"/>
                <w:szCs w:val="18"/>
              </w:rPr>
              <w:t>Ključni nalazi</w:t>
            </w:r>
            <w:r w:rsidRPr="4DCF16DC">
              <w:rPr>
                <w:rFonts w:eastAsiaTheme="minorEastAsia"/>
                <w:sz w:val="18"/>
                <w:szCs w:val="18"/>
              </w:rPr>
              <w:t xml:space="preserve"> </w:t>
            </w:r>
          </w:p>
          <w:p w14:paraId="2FD6A2A2" w14:textId="4B805F2B"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4A781172" w14:textId="74289BAD"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PL (tjelesna pismenost) je postavljena kao čimbenik koji određuje tjelesnu aktivnost (PA) i važan čimbenik za zdravstvene ishode kroz utjecaj PA. Rezultati sugeriraju da je PL povezana i s većim sudjelovanjem u PA te s manjim vremenom provedenim u sjedilačkom ponašanju (SB). Međutim, treba napomenuti da su rezultati bili robusniji za PA, što se vidi po dosljednijim razlikama između skupine SI (sjedilačka/neudružena) i skupina AS (aktivni korisnici ekrana) i low SB (nisko sjedilačko ponašanje), nego između skupina AS i low SB. Nadalje, s obzirom na to da pripadnost skupini predviđa BMI i samopoimanje, buduća istraživanja trebala bi ispitati srednjoročne i dugoročne učinke kako bi se vidjelo povećavaju li se razlike između skupina AS i low SB tijekom vremena.</w:t>
            </w:r>
          </w:p>
          <w:p w14:paraId="28911BD1" w14:textId="4ACF1C06" w:rsidR="0752BA49" w:rsidRDefault="1BFBD78B" w:rsidP="4DCF16DC">
            <w:pPr>
              <w:spacing w:line="276" w:lineRule="auto"/>
              <w:rPr>
                <w:rFonts w:eastAsiaTheme="minorEastAsia"/>
                <w:sz w:val="18"/>
                <w:szCs w:val="18"/>
                <w:lang w:val="hr"/>
              </w:rPr>
            </w:pPr>
            <w:r w:rsidRPr="4DCF16DC">
              <w:rPr>
                <w:rFonts w:eastAsiaTheme="minorEastAsia"/>
                <w:sz w:val="18"/>
                <w:szCs w:val="18"/>
                <w:lang w:val="hr"/>
              </w:rPr>
              <w:t>Ova studija doprinosi rastućoj literaturi koja procjenjuje utjecaj i PA i SB među mladima. Ograničenja uključuju samoprijavljenu PA, što nije omogućilo korištenje standardnih mjera umjerene ili intenzivne PA. Dodatno, ograničavajuće je i to što su mjereni samo određeni domeni PL. U tom smislu, naša studija je našla povezanosti između PA i SB te motoričkih vještina, fizičkog samopoimanja i uživanja u PA. Zbog razvijanja pragmatičnog pristupa konstrukcijama i elementima PL-a, poput Australijskog okvira tjelesne pismenosti i njegovih 32 elementa.</w:t>
            </w:r>
          </w:p>
        </w:tc>
      </w:tr>
      <w:tr w:rsidR="0752BA49" w14:paraId="10E78207"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39F59A94" w14:textId="4947263B" w:rsidR="0752BA49" w:rsidRDefault="1BFBD78B" w:rsidP="4DCF16DC">
            <w:pPr>
              <w:spacing w:line="276" w:lineRule="auto"/>
              <w:rPr>
                <w:rFonts w:eastAsiaTheme="minorEastAsia"/>
                <w:sz w:val="18"/>
                <w:szCs w:val="18"/>
                <w:lang w:val="it"/>
              </w:rPr>
            </w:pPr>
            <w:r w:rsidRPr="4DCF16DC">
              <w:rPr>
                <w:rFonts w:eastAsiaTheme="minorEastAsia"/>
                <w:b/>
                <w:bCs/>
                <w:sz w:val="18"/>
                <w:szCs w:val="18"/>
                <w:lang w:val="it"/>
              </w:rPr>
              <w:t>Kako može koristiti na MentiFit projektu?</w:t>
            </w:r>
            <w:r w:rsidRPr="4DCF16DC">
              <w:rPr>
                <w:rFonts w:eastAsiaTheme="minorEastAsia"/>
                <w:b/>
                <w:bCs/>
                <w:sz w:val="18"/>
                <w:szCs w:val="18"/>
                <w:lang w:val="hr"/>
              </w:rPr>
              <w:t> </w:t>
            </w:r>
            <w:r w:rsidRPr="4DCF16DC">
              <w:rPr>
                <w:rFonts w:eastAsiaTheme="minorEastAsia"/>
                <w:sz w:val="18"/>
                <w:szCs w:val="18"/>
                <w:lang w:val="it"/>
              </w:rPr>
              <w:t xml:space="preserve"> </w:t>
            </w:r>
          </w:p>
          <w:p w14:paraId="58782988" w14:textId="18BABCEB" w:rsidR="0752BA49" w:rsidRDefault="1BFBD78B" w:rsidP="4DCF16DC">
            <w:pPr>
              <w:spacing w:line="276" w:lineRule="auto"/>
              <w:rPr>
                <w:rFonts w:eastAsiaTheme="minorEastAsia"/>
                <w:sz w:val="18"/>
                <w:szCs w:val="18"/>
              </w:rPr>
            </w:pP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02005108" w14:textId="58030C7F" w:rsidR="0752BA49" w:rsidRDefault="1BFBD78B" w:rsidP="4DCF16DC">
            <w:pPr>
              <w:spacing w:line="276" w:lineRule="auto"/>
              <w:rPr>
                <w:rFonts w:eastAsiaTheme="minorEastAsia"/>
                <w:sz w:val="18"/>
                <w:szCs w:val="18"/>
                <w:lang w:val="hr"/>
              </w:rPr>
            </w:pPr>
            <w:r w:rsidRPr="4DCF16DC">
              <w:rPr>
                <w:rFonts w:eastAsiaTheme="minorEastAsia"/>
                <w:sz w:val="18"/>
                <w:szCs w:val="18"/>
              </w:rPr>
              <w:t>B</w:t>
            </w:r>
            <w:r w:rsidRPr="4DCF16DC">
              <w:rPr>
                <w:rFonts w:eastAsiaTheme="minorEastAsia"/>
                <w:sz w:val="18"/>
                <w:szCs w:val="18"/>
                <w:lang w:val="hr"/>
              </w:rPr>
              <w:t>uduća istraživanja trebala bi istražiti povezanost između PA i dodatnih mjera konstrukata PL-a. Također, buduća istraživanja trebala bi razmotriti i procjenu razlikuju li se skupine po količini lagane, umjerene i intenzivne PA.</w:t>
            </w:r>
          </w:p>
        </w:tc>
      </w:tr>
      <w:tr w:rsidR="0752BA49" w14:paraId="0F064E3A" w14:textId="77777777" w:rsidTr="4DCF16DC">
        <w:trPr>
          <w:trHeight w:val="285"/>
          <w:jc w:val="center"/>
        </w:trPr>
        <w:tc>
          <w:tcPr>
            <w:tcW w:w="3063" w:type="dxa"/>
            <w:tcBorders>
              <w:top w:val="single" w:sz="8" w:space="0" w:color="auto"/>
              <w:left w:val="single" w:sz="8" w:space="0" w:color="auto"/>
              <w:bottom w:val="single" w:sz="8" w:space="0" w:color="auto"/>
              <w:right w:val="single" w:sz="8" w:space="0" w:color="auto"/>
            </w:tcBorders>
          </w:tcPr>
          <w:p w14:paraId="08866E56" w14:textId="40DEFFEB" w:rsidR="0752BA49" w:rsidRDefault="1BFBD78B" w:rsidP="4DCF16DC">
            <w:pPr>
              <w:spacing w:line="276" w:lineRule="auto"/>
              <w:rPr>
                <w:rFonts w:eastAsiaTheme="minorEastAsia"/>
                <w:sz w:val="18"/>
                <w:szCs w:val="18"/>
              </w:rPr>
            </w:pPr>
            <w:r w:rsidRPr="4DCF16DC">
              <w:rPr>
                <w:rFonts w:eastAsiaTheme="minorEastAsia"/>
                <w:b/>
                <w:bCs/>
                <w:sz w:val="18"/>
                <w:szCs w:val="18"/>
              </w:rPr>
              <w:t>Komentar, pitanje… </w:t>
            </w:r>
            <w:r w:rsidRPr="4DCF16DC">
              <w:rPr>
                <w:rFonts w:eastAsiaTheme="minorEastAsia"/>
                <w:b/>
                <w:bCs/>
                <w:sz w:val="18"/>
                <w:szCs w:val="18"/>
                <w:lang w:val="hr"/>
              </w:rPr>
              <w:t> </w:t>
            </w:r>
            <w:r w:rsidRPr="4DCF16DC">
              <w:rPr>
                <w:rFonts w:eastAsiaTheme="minorEastAsia"/>
                <w:sz w:val="18"/>
                <w:szCs w:val="18"/>
              </w:rPr>
              <w:t xml:space="preserve"> </w:t>
            </w:r>
          </w:p>
        </w:tc>
        <w:tc>
          <w:tcPr>
            <w:tcW w:w="6008" w:type="dxa"/>
            <w:tcBorders>
              <w:top w:val="single" w:sz="8" w:space="0" w:color="auto"/>
              <w:left w:val="single" w:sz="8" w:space="0" w:color="auto"/>
              <w:bottom w:val="single" w:sz="8" w:space="0" w:color="auto"/>
              <w:right w:val="single" w:sz="8" w:space="0" w:color="auto"/>
            </w:tcBorders>
          </w:tcPr>
          <w:p w14:paraId="3C0D4BA9" w14:textId="2C033347" w:rsidR="0752BA49" w:rsidRDefault="1BFBD78B" w:rsidP="4DCF16DC">
            <w:pPr>
              <w:spacing w:line="276" w:lineRule="auto"/>
              <w:rPr>
                <w:rFonts w:eastAsiaTheme="minorEastAsia"/>
                <w:sz w:val="18"/>
                <w:szCs w:val="18"/>
                <w:lang w:val="it-IT"/>
              </w:rPr>
            </w:pPr>
            <w:r w:rsidRPr="4DCF16DC">
              <w:rPr>
                <w:rFonts w:eastAsiaTheme="minorEastAsia"/>
                <w:sz w:val="18"/>
                <w:szCs w:val="18"/>
                <w:lang w:val="it-IT"/>
              </w:rPr>
              <w:t>Koji konstrukti tjelesne pismenosti su manje istraženi?</w:t>
            </w:r>
          </w:p>
        </w:tc>
      </w:tr>
    </w:tbl>
    <w:p w14:paraId="6F2D36BA" w14:textId="31EDDE68" w:rsidR="0752BA49" w:rsidRDefault="0752BA49"/>
    <w:p w14:paraId="708B0156" w14:textId="5322E74A" w:rsidR="0752BA49" w:rsidRDefault="0752BA49"/>
    <w:p w14:paraId="407CE776" w14:textId="5986A909" w:rsidR="0752BA49" w:rsidRDefault="0752BA49"/>
    <w:p w14:paraId="3A80517C" w14:textId="2057D475" w:rsidR="0752BA49" w:rsidRDefault="0752BA49"/>
    <w:p w14:paraId="32F473EC" w14:textId="13DAC608" w:rsidR="0752BA49" w:rsidRDefault="0752BA49"/>
    <w:p w14:paraId="1808178B" w14:textId="74155307" w:rsidR="0752BA49" w:rsidRDefault="0752BA49"/>
    <w:p w14:paraId="7ACB6B48" w14:textId="25BC3C95" w:rsidR="0752BA49" w:rsidRDefault="0752BA49"/>
    <w:sectPr w:rsidR="0752B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ePkdgZ4Ueo019R" int2:id="EH152Yrv">
      <int2:state int2:value="Rejected" int2:type="spell"/>
    </int2:textHash>
    <int2:bookmark int2:bookmarkName="_Int_IT0AP2AJ" int2:invalidationBookmarkName="" int2:hashCode="zffpJfV0Z0HDFv" int2:id="FjdKpbB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9C56"/>
    <w:multiLevelType w:val="hybridMultilevel"/>
    <w:tmpl w:val="FFFFFFFF"/>
    <w:lvl w:ilvl="0" w:tplc="7352915C">
      <w:start w:val="1"/>
      <w:numFmt w:val="bullet"/>
      <w:lvlText w:val=""/>
      <w:lvlJc w:val="left"/>
      <w:pPr>
        <w:ind w:left="720" w:hanging="360"/>
      </w:pPr>
      <w:rPr>
        <w:rFonts w:ascii="Symbol" w:hAnsi="Symbol" w:hint="default"/>
      </w:rPr>
    </w:lvl>
    <w:lvl w:ilvl="1" w:tplc="F5984D78">
      <w:start w:val="1"/>
      <w:numFmt w:val="bullet"/>
      <w:lvlText w:val="o"/>
      <w:lvlJc w:val="left"/>
      <w:pPr>
        <w:ind w:left="1440" w:hanging="360"/>
      </w:pPr>
      <w:rPr>
        <w:rFonts w:ascii="Courier New" w:hAnsi="Courier New" w:hint="default"/>
      </w:rPr>
    </w:lvl>
    <w:lvl w:ilvl="2" w:tplc="4EFED4FE">
      <w:start w:val="1"/>
      <w:numFmt w:val="bullet"/>
      <w:lvlText w:val=""/>
      <w:lvlJc w:val="left"/>
      <w:pPr>
        <w:ind w:left="2160" w:hanging="360"/>
      </w:pPr>
      <w:rPr>
        <w:rFonts w:ascii="Wingdings" w:hAnsi="Wingdings" w:hint="default"/>
      </w:rPr>
    </w:lvl>
    <w:lvl w:ilvl="3" w:tplc="8CBA3B1A">
      <w:start w:val="1"/>
      <w:numFmt w:val="bullet"/>
      <w:lvlText w:val=""/>
      <w:lvlJc w:val="left"/>
      <w:pPr>
        <w:ind w:left="2880" w:hanging="360"/>
      </w:pPr>
      <w:rPr>
        <w:rFonts w:ascii="Symbol" w:hAnsi="Symbol" w:hint="default"/>
      </w:rPr>
    </w:lvl>
    <w:lvl w:ilvl="4" w:tplc="A412DF1C">
      <w:start w:val="1"/>
      <w:numFmt w:val="bullet"/>
      <w:lvlText w:val="o"/>
      <w:lvlJc w:val="left"/>
      <w:pPr>
        <w:ind w:left="3600" w:hanging="360"/>
      </w:pPr>
      <w:rPr>
        <w:rFonts w:ascii="Courier New" w:hAnsi="Courier New" w:hint="default"/>
      </w:rPr>
    </w:lvl>
    <w:lvl w:ilvl="5" w:tplc="E3CA457A">
      <w:start w:val="1"/>
      <w:numFmt w:val="bullet"/>
      <w:lvlText w:val=""/>
      <w:lvlJc w:val="left"/>
      <w:pPr>
        <w:ind w:left="4320" w:hanging="360"/>
      </w:pPr>
      <w:rPr>
        <w:rFonts w:ascii="Wingdings" w:hAnsi="Wingdings" w:hint="default"/>
      </w:rPr>
    </w:lvl>
    <w:lvl w:ilvl="6" w:tplc="A5DA2778">
      <w:start w:val="1"/>
      <w:numFmt w:val="bullet"/>
      <w:lvlText w:val=""/>
      <w:lvlJc w:val="left"/>
      <w:pPr>
        <w:ind w:left="5040" w:hanging="360"/>
      </w:pPr>
      <w:rPr>
        <w:rFonts w:ascii="Symbol" w:hAnsi="Symbol" w:hint="default"/>
      </w:rPr>
    </w:lvl>
    <w:lvl w:ilvl="7" w:tplc="B22CD90C">
      <w:start w:val="1"/>
      <w:numFmt w:val="bullet"/>
      <w:lvlText w:val="o"/>
      <w:lvlJc w:val="left"/>
      <w:pPr>
        <w:ind w:left="5760" w:hanging="360"/>
      </w:pPr>
      <w:rPr>
        <w:rFonts w:ascii="Courier New" w:hAnsi="Courier New" w:hint="default"/>
      </w:rPr>
    </w:lvl>
    <w:lvl w:ilvl="8" w:tplc="62D643A0">
      <w:start w:val="1"/>
      <w:numFmt w:val="bullet"/>
      <w:lvlText w:val=""/>
      <w:lvlJc w:val="left"/>
      <w:pPr>
        <w:ind w:left="6480" w:hanging="360"/>
      </w:pPr>
      <w:rPr>
        <w:rFonts w:ascii="Wingdings" w:hAnsi="Wingdings" w:hint="default"/>
      </w:rPr>
    </w:lvl>
  </w:abstractNum>
  <w:abstractNum w:abstractNumId="1" w15:restartNumberingAfterBreak="0">
    <w:nsid w:val="0FE78F5E"/>
    <w:multiLevelType w:val="hybridMultilevel"/>
    <w:tmpl w:val="FFFFFFFF"/>
    <w:lvl w:ilvl="0" w:tplc="7D48B9B8">
      <w:start w:val="1"/>
      <w:numFmt w:val="bullet"/>
      <w:lvlText w:val=""/>
      <w:lvlJc w:val="left"/>
      <w:pPr>
        <w:ind w:left="720" w:hanging="360"/>
      </w:pPr>
      <w:rPr>
        <w:rFonts w:ascii="Symbol" w:hAnsi="Symbol" w:hint="default"/>
      </w:rPr>
    </w:lvl>
    <w:lvl w:ilvl="1" w:tplc="55562A00">
      <w:start w:val="1"/>
      <w:numFmt w:val="bullet"/>
      <w:lvlText w:val="o"/>
      <w:lvlJc w:val="left"/>
      <w:pPr>
        <w:ind w:left="1440" w:hanging="360"/>
      </w:pPr>
      <w:rPr>
        <w:rFonts w:ascii="Courier New" w:hAnsi="Courier New" w:hint="default"/>
      </w:rPr>
    </w:lvl>
    <w:lvl w:ilvl="2" w:tplc="861207F6">
      <w:start w:val="1"/>
      <w:numFmt w:val="bullet"/>
      <w:lvlText w:val=""/>
      <w:lvlJc w:val="left"/>
      <w:pPr>
        <w:ind w:left="2160" w:hanging="360"/>
      </w:pPr>
      <w:rPr>
        <w:rFonts w:ascii="Wingdings" w:hAnsi="Wingdings" w:hint="default"/>
      </w:rPr>
    </w:lvl>
    <w:lvl w:ilvl="3" w:tplc="BA025C44">
      <w:start w:val="1"/>
      <w:numFmt w:val="bullet"/>
      <w:lvlText w:val=""/>
      <w:lvlJc w:val="left"/>
      <w:pPr>
        <w:ind w:left="2880" w:hanging="360"/>
      </w:pPr>
      <w:rPr>
        <w:rFonts w:ascii="Symbol" w:hAnsi="Symbol" w:hint="default"/>
      </w:rPr>
    </w:lvl>
    <w:lvl w:ilvl="4" w:tplc="1F50A74E">
      <w:start w:val="1"/>
      <w:numFmt w:val="bullet"/>
      <w:lvlText w:val="o"/>
      <w:lvlJc w:val="left"/>
      <w:pPr>
        <w:ind w:left="3600" w:hanging="360"/>
      </w:pPr>
      <w:rPr>
        <w:rFonts w:ascii="Courier New" w:hAnsi="Courier New" w:hint="default"/>
      </w:rPr>
    </w:lvl>
    <w:lvl w:ilvl="5" w:tplc="C7EC2216">
      <w:start w:val="1"/>
      <w:numFmt w:val="bullet"/>
      <w:lvlText w:val=""/>
      <w:lvlJc w:val="left"/>
      <w:pPr>
        <w:ind w:left="4320" w:hanging="360"/>
      </w:pPr>
      <w:rPr>
        <w:rFonts w:ascii="Wingdings" w:hAnsi="Wingdings" w:hint="default"/>
      </w:rPr>
    </w:lvl>
    <w:lvl w:ilvl="6" w:tplc="0CB4D0A8">
      <w:start w:val="1"/>
      <w:numFmt w:val="bullet"/>
      <w:lvlText w:val=""/>
      <w:lvlJc w:val="left"/>
      <w:pPr>
        <w:ind w:left="5040" w:hanging="360"/>
      </w:pPr>
      <w:rPr>
        <w:rFonts w:ascii="Symbol" w:hAnsi="Symbol" w:hint="default"/>
      </w:rPr>
    </w:lvl>
    <w:lvl w:ilvl="7" w:tplc="56068C46">
      <w:start w:val="1"/>
      <w:numFmt w:val="bullet"/>
      <w:lvlText w:val="o"/>
      <w:lvlJc w:val="left"/>
      <w:pPr>
        <w:ind w:left="5760" w:hanging="360"/>
      </w:pPr>
      <w:rPr>
        <w:rFonts w:ascii="Courier New" w:hAnsi="Courier New" w:hint="default"/>
      </w:rPr>
    </w:lvl>
    <w:lvl w:ilvl="8" w:tplc="D9844A4E">
      <w:start w:val="1"/>
      <w:numFmt w:val="bullet"/>
      <w:lvlText w:val=""/>
      <w:lvlJc w:val="left"/>
      <w:pPr>
        <w:ind w:left="6480" w:hanging="360"/>
      </w:pPr>
      <w:rPr>
        <w:rFonts w:ascii="Wingdings" w:hAnsi="Wingdings" w:hint="default"/>
      </w:rPr>
    </w:lvl>
  </w:abstractNum>
  <w:abstractNum w:abstractNumId="2" w15:restartNumberingAfterBreak="0">
    <w:nsid w:val="12A70BC9"/>
    <w:multiLevelType w:val="hybridMultilevel"/>
    <w:tmpl w:val="FFFFFFFF"/>
    <w:lvl w:ilvl="0" w:tplc="975E9B86">
      <w:start w:val="1"/>
      <w:numFmt w:val="bullet"/>
      <w:lvlText w:val="-"/>
      <w:lvlJc w:val="left"/>
      <w:pPr>
        <w:ind w:left="720" w:hanging="360"/>
      </w:pPr>
      <w:rPr>
        <w:rFonts w:ascii="Aptos" w:hAnsi="Aptos" w:hint="default"/>
      </w:rPr>
    </w:lvl>
    <w:lvl w:ilvl="1" w:tplc="E424DE8C">
      <w:start w:val="1"/>
      <w:numFmt w:val="bullet"/>
      <w:lvlText w:val="o"/>
      <w:lvlJc w:val="left"/>
      <w:pPr>
        <w:ind w:left="1440" w:hanging="360"/>
      </w:pPr>
      <w:rPr>
        <w:rFonts w:ascii="Courier New" w:hAnsi="Courier New" w:hint="default"/>
      </w:rPr>
    </w:lvl>
    <w:lvl w:ilvl="2" w:tplc="33B886A8">
      <w:start w:val="1"/>
      <w:numFmt w:val="bullet"/>
      <w:lvlText w:val=""/>
      <w:lvlJc w:val="left"/>
      <w:pPr>
        <w:ind w:left="2160" w:hanging="360"/>
      </w:pPr>
      <w:rPr>
        <w:rFonts w:ascii="Wingdings" w:hAnsi="Wingdings" w:hint="default"/>
      </w:rPr>
    </w:lvl>
    <w:lvl w:ilvl="3" w:tplc="7BC25CC4">
      <w:start w:val="1"/>
      <w:numFmt w:val="bullet"/>
      <w:lvlText w:val=""/>
      <w:lvlJc w:val="left"/>
      <w:pPr>
        <w:ind w:left="2880" w:hanging="360"/>
      </w:pPr>
      <w:rPr>
        <w:rFonts w:ascii="Symbol" w:hAnsi="Symbol" w:hint="default"/>
      </w:rPr>
    </w:lvl>
    <w:lvl w:ilvl="4" w:tplc="40C8C2A4">
      <w:start w:val="1"/>
      <w:numFmt w:val="bullet"/>
      <w:lvlText w:val="o"/>
      <w:lvlJc w:val="left"/>
      <w:pPr>
        <w:ind w:left="3600" w:hanging="360"/>
      </w:pPr>
      <w:rPr>
        <w:rFonts w:ascii="Courier New" w:hAnsi="Courier New" w:hint="default"/>
      </w:rPr>
    </w:lvl>
    <w:lvl w:ilvl="5" w:tplc="C16610FE">
      <w:start w:val="1"/>
      <w:numFmt w:val="bullet"/>
      <w:lvlText w:val=""/>
      <w:lvlJc w:val="left"/>
      <w:pPr>
        <w:ind w:left="4320" w:hanging="360"/>
      </w:pPr>
      <w:rPr>
        <w:rFonts w:ascii="Wingdings" w:hAnsi="Wingdings" w:hint="default"/>
      </w:rPr>
    </w:lvl>
    <w:lvl w:ilvl="6" w:tplc="47B2E6CA">
      <w:start w:val="1"/>
      <w:numFmt w:val="bullet"/>
      <w:lvlText w:val=""/>
      <w:lvlJc w:val="left"/>
      <w:pPr>
        <w:ind w:left="5040" w:hanging="360"/>
      </w:pPr>
      <w:rPr>
        <w:rFonts w:ascii="Symbol" w:hAnsi="Symbol" w:hint="default"/>
      </w:rPr>
    </w:lvl>
    <w:lvl w:ilvl="7" w:tplc="691E0D88">
      <w:start w:val="1"/>
      <w:numFmt w:val="bullet"/>
      <w:lvlText w:val="o"/>
      <w:lvlJc w:val="left"/>
      <w:pPr>
        <w:ind w:left="5760" w:hanging="360"/>
      </w:pPr>
      <w:rPr>
        <w:rFonts w:ascii="Courier New" w:hAnsi="Courier New" w:hint="default"/>
      </w:rPr>
    </w:lvl>
    <w:lvl w:ilvl="8" w:tplc="70B8D6C6">
      <w:start w:val="1"/>
      <w:numFmt w:val="bullet"/>
      <w:lvlText w:val=""/>
      <w:lvlJc w:val="left"/>
      <w:pPr>
        <w:ind w:left="6480" w:hanging="360"/>
      </w:pPr>
      <w:rPr>
        <w:rFonts w:ascii="Wingdings" w:hAnsi="Wingdings" w:hint="default"/>
      </w:rPr>
    </w:lvl>
  </w:abstractNum>
  <w:abstractNum w:abstractNumId="3" w15:restartNumberingAfterBreak="0">
    <w:nsid w:val="1B1489FD"/>
    <w:multiLevelType w:val="hybridMultilevel"/>
    <w:tmpl w:val="31D62E0A"/>
    <w:lvl w:ilvl="0" w:tplc="984040EC">
      <w:start w:val="1"/>
      <w:numFmt w:val="bullet"/>
      <w:lvlText w:val="-"/>
      <w:lvlJc w:val="left"/>
      <w:pPr>
        <w:ind w:left="720" w:hanging="360"/>
      </w:pPr>
      <w:rPr>
        <w:rFonts w:ascii="Aptos" w:hAnsi="Aptos" w:hint="default"/>
      </w:rPr>
    </w:lvl>
    <w:lvl w:ilvl="1" w:tplc="07BAEBF0">
      <w:start w:val="1"/>
      <w:numFmt w:val="bullet"/>
      <w:lvlText w:val="o"/>
      <w:lvlJc w:val="left"/>
      <w:pPr>
        <w:ind w:left="1440" w:hanging="360"/>
      </w:pPr>
      <w:rPr>
        <w:rFonts w:ascii="Courier New" w:hAnsi="Courier New" w:hint="default"/>
      </w:rPr>
    </w:lvl>
    <w:lvl w:ilvl="2" w:tplc="114CE400">
      <w:start w:val="1"/>
      <w:numFmt w:val="bullet"/>
      <w:lvlText w:val=""/>
      <w:lvlJc w:val="left"/>
      <w:pPr>
        <w:ind w:left="2160" w:hanging="360"/>
      </w:pPr>
      <w:rPr>
        <w:rFonts w:ascii="Wingdings" w:hAnsi="Wingdings" w:hint="default"/>
      </w:rPr>
    </w:lvl>
    <w:lvl w:ilvl="3" w:tplc="7DE2B6E0">
      <w:start w:val="1"/>
      <w:numFmt w:val="bullet"/>
      <w:lvlText w:val=""/>
      <w:lvlJc w:val="left"/>
      <w:pPr>
        <w:ind w:left="2880" w:hanging="360"/>
      </w:pPr>
      <w:rPr>
        <w:rFonts w:ascii="Symbol" w:hAnsi="Symbol" w:hint="default"/>
      </w:rPr>
    </w:lvl>
    <w:lvl w:ilvl="4" w:tplc="40CE68F4">
      <w:start w:val="1"/>
      <w:numFmt w:val="bullet"/>
      <w:lvlText w:val="o"/>
      <w:lvlJc w:val="left"/>
      <w:pPr>
        <w:ind w:left="3600" w:hanging="360"/>
      </w:pPr>
      <w:rPr>
        <w:rFonts w:ascii="Courier New" w:hAnsi="Courier New" w:hint="default"/>
      </w:rPr>
    </w:lvl>
    <w:lvl w:ilvl="5" w:tplc="D3F4F846">
      <w:start w:val="1"/>
      <w:numFmt w:val="bullet"/>
      <w:lvlText w:val=""/>
      <w:lvlJc w:val="left"/>
      <w:pPr>
        <w:ind w:left="4320" w:hanging="360"/>
      </w:pPr>
      <w:rPr>
        <w:rFonts w:ascii="Wingdings" w:hAnsi="Wingdings" w:hint="default"/>
      </w:rPr>
    </w:lvl>
    <w:lvl w:ilvl="6" w:tplc="2DA69A1C">
      <w:start w:val="1"/>
      <w:numFmt w:val="bullet"/>
      <w:lvlText w:val=""/>
      <w:lvlJc w:val="left"/>
      <w:pPr>
        <w:ind w:left="5040" w:hanging="360"/>
      </w:pPr>
      <w:rPr>
        <w:rFonts w:ascii="Symbol" w:hAnsi="Symbol" w:hint="default"/>
      </w:rPr>
    </w:lvl>
    <w:lvl w:ilvl="7" w:tplc="A72E3FF8">
      <w:start w:val="1"/>
      <w:numFmt w:val="bullet"/>
      <w:lvlText w:val="o"/>
      <w:lvlJc w:val="left"/>
      <w:pPr>
        <w:ind w:left="5760" w:hanging="360"/>
      </w:pPr>
      <w:rPr>
        <w:rFonts w:ascii="Courier New" w:hAnsi="Courier New" w:hint="default"/>
      </w:rPr>
    </w:lvl>
    <w:lvl w:ilvl="8" w:tplc="7FF20350">
      <w:start w:val="1"/>
      <w:numFmt w:val="bullet"/>
      <w:lvlText w:val=""/>
      <w:lvlJc w:val="left"/>
      <w:pPr>
        <w:ind w:left="6480" w:hanging="360"/>
      </w:pPr>
      <w:rPr>
        <w:rFonts w:ascii="Wingdings" w:hAnsi="Wingdings" w:hint="default"/>
      </w:rPr>
    </w:lvl>
  </w:abstractNum>
  <w:abstractNum w:abstractNumId="4" w15:restartNumberingAfterBreak="0">
    <w:nsid w:val="1E4114BD"/>
    <w:multiLevelType w:val="hybridMultilevel"/>
    <w:tmpl w:val="806C2032"/>
    <w:lvl w:ilvl="0" w:tplc="800A940C">
      <w:start w:val="1"/>
      <w:numFmt w:val="bullet"/>
      <w:lvlText w:val=""/>
      <w:lvlJc w:val="left"/>
      <w:pPr>
        <w:ind w:left="720" w:hanging="360"/>
      </w:pPr>
      <w:rPr>
        <w:rFonts w:ascii="Symbol" w:hAnsi="Symbol" w:hint="default"/>
      </w:rPr>
    </w:lvl>
    <w:lvl w:ilvl="1" w:tplc="F59864E4">
      <w:start w:val="1"/>
      <w:numFmt w:val="bullet"/>
      <w:lvlText w:val="o"/>
      <w:lvlJc w:val="left"/>
      <w:pPr>
        <w:ind w:left="1440" w:hanging="360"/>
      </w:pPr>
      <w:rPr>
        <w:rFonts w:ascii="Courier New" w:hAnsi="Courier New" w:hint="default"/>
      </w:rPr>
    </w:lvl>
    <w:lvl w:ilvl="2" w:tplc="01B48FD4">
      <w:start w:val="1"/>
      <w:numFmt w:val="bullet"/>
      <w:lvlText w:val=""/>
      <w:lvlJc w:val="left"/>
      <w:pPr>
        <w:ind w:left="2160" w:hanging="360"/>
      </w:pPr>
      <w:rPr>
        <w:rFonts w:ascii="Wingdings" w:hAnsi="Wingdings" w:hint="default"/>
      </w:rPr>
    </w:lvl>
    <w:lvl w:ilvl="3" w:tplc="5BF423C2">
      <w:start w:val="1"/>
      <w:numFmt w:val="bullet"/>
      <w:lvlText w:val=""/>
      <w:lvlJc w:val="left"/>
      <w:pPr>
        <w:ind w:left="2880" w:hanging="360"/>
      </w:pPr>
      <w:rPr>
        <w:rFonts w:ascii="Symbol" w:hAnsi="Symbol" w:hint="default"/>
      </w:rPr>
    </w:lvl>
    <w:lvl w:ilvl="4" w:tplc="569CF0D4">
      <w:start w:val="1"/>
      <w:numFmt w:val="bullet"/>
      <w:lvlText w:val="o"/>
      <w:lvlJc w:val="left"/>
      <w:pPr>
        <w:ind w:left="3600" w:hanging="360"/>
      </w:pPr>
      <w:rPr>
        <w:rFonts w:ascii="Courier New" w:hAnsi="Courier New" w:hint="default"/>
      </w:rPr>
    </w:lvl>
    <w:lvl w:ilvl="5" w:tplc="9FA29B70">
      <w:start w:val="1"/>
      <w:numFmt w:val="bullet"/>
      <w:lvlText w:val=""/>
      <w:lvlJc w:val="left"/>
      <w:pPr>
        <w:ind w:left="4320" w:hanging="360"/>
      </w:pPr>
      <w:rPr>
        <w:rFonts w:ascii="Wingdings" w:hAnsi="Wingdings" w:hint="default"/>
      </w:rPr>
    </w:lvl>
    <w:lvl w:ilvl="6" w:tplc="959265A0">
      <w:start w:val="1"/>
      <w:numFmt w:val="bullet"/>
      <w:lvlText w:val=""/>
      <w:lvlJc w:val="left"/>
      <w:pPr>
        <w:ind w:left="5040" w:hanging="360"/>
      </w:pPr>
      <w:rPr>
        <w:rFonts w:ascii="Symbol" w:hAnsi="Symbol" w:hint="default"/>
      </w:rPr>
    </w:lvl>
    <w:lvl w:ilvl="7" w:tplc="1C46F5C2">
      <w:start w:val="1"/>
      <w:numFmt w:val="bullet"/>
      <w:lvlText w:val="o"/>
      <w:lvlJc w:val="left"/>
      <w:pPr>
        <w:ind w:left="5760" w:hanging="360"/>
      </w:pPr>
      <w:rPr>
        <w:rFonts w:ascii="Courier New" w:hAnsi="Courier New" w:hint="default"/>
      </w:rPr>
    </w:lvl>
    <w:lvl w:ilvl="8" w:tplc="B6241650">
      <w:start w:val="1"/>
      <w:numFmt w:val="bullet"/>
      <w:lvlText w:val=""/>
      <w:lvlJc w:val="left"/>
      <w:pPr>
        <w:ind w:left="6480" w:hanging="360"/>
      </w:pPr>
      <w:rPr>
        <w:rFonts w:ascii="Wingdings" w:hAnsi="Wingdings" w:hint="default"/>
      </w:rPr>
    </w:lvl>
  </w:abstractNum>
  <w:abstractNum w:abstractNumId="5" w15:restartNumberingAfterBreak="0">
    <w:nsid w:val="20FBDD81"/>
    <w:multiLevelType w:val="hybridMultilevel"/>
    <w:tmpl w:val="FFFFFFFF"/>
    <w:lvl w:ilvl="0" w:tplc="F5C2AF6C">
      <w:start w:val="1"/>
      <w:numFmt w:val="bullet"/>
      <w:lvlText w:val="-"/>
      <w:lvlJc w:val="left"/>
      <w:pPr>
        <w:ind w:left="720" w:hanging="360"/>
      </w:pPr>
      <w:rPr>
        <w:rFonts w:ascii="Aptos" w:hAnsi="Aptos" w:hint="default"/>
      </w:rPr>
    </w:lvl>
    <w:lvl w:ilvl="1" w:tplc="346A3AE6">
      <w:start w:val="1"/>
      <w:numFmt w:val="bullet"/>
      <w:lvlText w:val="o"/>
      <w:lvlJc w:val="left"/>
      <w:pPr>
        <w:ind w:left="1440" w:hanging="360"/>
      </w:pPr>
      <w:rPr>
        <w:rFonts w:ascii="Courier New" w:hAnsi="Courier New" w:hint="default"/>
      </w:rPr>
    </w:lvl>
    <w:lvl w:ilvl="2" w:tplc="FD9ACB38">
      <w:start w:val="1"/>
      <w:numFmt w:val="bullet"/>
      <w:lvlText w:val=""/>
      <w:lvlJc w:val="left"/>
      <w:pPr>
        <w:ind w:left="2160" w:hanging="360"/>
      </w:pPr>
      <w:rPr>
        <w:rFonts w:ascii="Wingdings" w:hAnsi="Wingdings" w:hint="default"/>
      </w:rPr>
    </w:lvl>
    <w:lvl w:ilvl="3" w:tplc="A7E8E1AE">
      <w:start w:val="1"/>
      <w:numFmt w:val="bullet"/>
      <w:lvlText w:val=""/>
      <w:lvlJc w:val="left"/>
      <w:pPr>
        <w:ind w:left="2880" w:hanging="360"/>
      </w:pPr>
      <w:rPr>
        <w:rFonts w:ascii="Symbol" w:hAnsi="Symbol" w:hint="default"/>
      </w:rPr>
    </w:lvl>
    <w:lvl w:ilvl="4" w:tplc="59940FC6">
      <w:start w:val="1"/>
      <w:numFmt w:val="bullet"/>
      <w:lvlText w:val="o"/>
      <w:lvlJc w:val="left"/>
      <w:pPr>
        <w:ind w:left="3600" w:hanging="360"/>
      </w:pPr>
      <w:rPr>
        <w:rFonts w:ascii="Courier New" w:hAnsi="Courier New" w:hint="default"/>
      </w:rPr>
    </w:lvl>
    <w:lvl w:ilvl="5" w:tplc="8E92DAE6">
      <w:start w:val="1"/>
      <w:numFmt w:val="bullet"/>
      <w:lvlText w:val=""/>
      <w:lvlJc w:val="left"/>
      <w:pPr>
        <w:ind w:left="4320" w:hanging="360"/>
      </w:pPr>
      <w:rPr>
        <w:rFonts w:ascii="Wingdings" w:hAnsi="Wingdings" w:hint="default"/>
      </w:rPr>
    </w:lvl>
    <w:lvl w:ilvl="6" w:tplc="52F4D310">
      <w:start w:val="1"/>
      <w:numFmt w:val="bullet"/>
      <w:lvlText w:val=""/>
      <w:lvlJc w:val="left"/>
      <w:pPr>
        <w:ind w:left="5040" w:hanging="360"/>
      </w:pPr>
      <w:rPr>
        <w:rFonts w:ascii="Symbol" w:hAnsi="Symbol" w:hint="default"/>
      </w:rPr>
    </w:lvl>
    <w:lvl w:ilvl="7" w:tplc="B6905E52">
      <w:start w:val="1"/>
      <w:numFmt w:val="bullet"/>
      <w:lvlText w:val="o"/>
      <w:lvlJc w:val="left"/>
      <w:pPr>
        <w:ind w:left="5760" w:hanging="360"/>
      </w:pPr>
      <w:rPr>
        <w:rFonts w:ascii="Courier New" w:hAnsi="Courier New" w:hint="default"/>
      </w:rPr>
    </w:lvl>
    <w:lvl w:ilvl="8" w:tplc="002CD690">
      <w:start w:val="1"/>
      <w:numFmt w:val="bullet"/>
      <w:lvlText w:val=""/>
      <w:lvlJc w:val="left"/>
      <w:pPr>
        <w:ind w:left="6480" w:hanging="360"/>
      </w:pPr>
      <w:rPr>
        <w:rFonts w:ascii="Wingdings" w:hAnsi="Wingdings" w:hint="default"/>
      </w:rPr>
    </w:lvl>
  </w:abstractNum>
  <w:abstractNum w:abstractNumId="6" w15:restartNumberingAfterBreak="0">
    <w:nsid w:val="33C753EA"/>
    <w:multiLevelType w:val="hybridMultilevel"/>
    <w:tmpl w:val="F3AA59CE"/>
    <w:lvl w:ilvl="0" w:tplc="9FE6CA4C">
      <w:start w:val="1"/>
      <w:numFmt w:val="bullet"/>
      <w:lvlText w:val="-"/>
      <w:lvlJc w:val="left"/>
      <w:pPr>
        <w:ind w:left="720" w:hanging="360"/>
      </w:pPr>
      <w:rPr>
        <w:rFonts w:ascii="Aptos" w:hAnsi="Aptos" w:hint="default"/>
      </w:rPr>
    </w:lvl>
    <w:lvl w:ilvl="1" w:tplc="53AC7EC8">
      <w:start w:val="1"/>
      <w:numFmt w:val="bullet"/>
      <w:lvlText w:val="o"/>
      <w:lvlJc w:val="left"/>
      <w:pPr>
        <w:ind w:left="1440" w:hanging="360"/>
      </w:pPr>
      <w:rPr>
        <w:rFonts w:ascii="Courier New" w:hAnsi="Courier New" w:hint="default"/>
      </w:rPr>
    </w:lvl>
    <w:lvl w:ilvl="2" w:tplc="5ACA85A6">
      <w:start w:val="1"/>
      <w:numFmt w:val="bullet"/>
      <w:lvlText w:val=""/>
      <w:lvlJc w:val="left"/>
      <w:pPr>
        <w:ind w:left="2160" w:hanging="360"/>
      </w:pPr>
      <w:rPr>
        <w:rFonts w:ascii="Wingdings" w:hAnsi="Wingdings" w:hint="default"/>
      </w:rPr>
    </w:lvl>
    <w:lvl w:ilvl="3" w:tplc="97CA9342">
      <w:start w:val="1"/>
      <w:numFmt w:val="bullet"/>
      <w:lvlText w:val=""/>
      <w:lvlJc w:val="left"/>
      <w:pPr>
        <w:ind w:left="2880" w:hanging="360"/>
      </w:pPr>
      <w:rPr>
        <w:rFonts w:ascii="Symbol" w:hAnsi="Symbol" w:hint="default"/>
      </w:rPr>
    </w:lvl>
    <w:lvl w:ilvl="4" w:tplc="ECFC2C02">
      <w:start w:val="1"/>
      <w:numFmt w:val="bullet"/>
      <w:lvlText w:val="o"/>
      <w:lvlJc w:val="left"/>
      <w:pPr>
        <w:ind w:left="3600" w:hanging="360"/>
      </w:pPr>
      <w:rPr>
        <w:rFonts w:ascii="Courier New" w:hAnsi="Courier New" w:hint="default"/>
      </w:rPr>
    </w:lvl>
    <w:lvl w:ilvl="5" w:tplc="A5683324">
      <w:start w:val="1"/>
      <w:numFmt w:val="bullet"/>
      <w:lvlText w:val=""/>
      <w:lvlJc w:val="left"/>
      <w:pPr>
        <w:ind w:left="4320" w:hanging="360"/>
      </w:pPr>
      <w:rPr>
        <w:rFonts w:ascii="Wingdings" w:hAnsi="Wingdings" w:hint="default"/>
      </w:rPr>
    </w:lvl>
    <w:lvl w:ilvl="6" w:tplc="4798EF10">
      <w:start w:val="1"/>
      <w:numFmt w:val="bullet"/>
      <w:lvlText w:val=""/>
      <w:lvlJc w:val="left"/>
      <w:pPr>
        <w:ind w:left="5040" w:hanging="360"/>
      </w:pPr>
      <w:rPr>
        <w:rFonts w:ascii="Symbol" w:hAnsi="Symbol" w:hint="default"/>
      </w:rPr>
    </w:lvl>
    <w:lvl w:ilvl="7" w:tplc="CAF23898">
      <w:start w:val="1"/>
      <w:numFmt w:val="bullet"/>
      <w:lvlText w:val="o"/>
      <w:lvlJc w:val="left"/>
      <w:pPr>
        <w:ind w:left="5760" w:hanging="360"/>
      </w:pPr>
      <w:rPr>
        <w:rFonts w:ascii="Courier New" w:hAnsi="Courier New" w:hint="default"/>
      </w:rPr>
    </w:lvl>
    <w:lvl w:ilvl="8" w:tplc="6CC64784">
      <w:start w:val="1"/>
      <w:numFmt w:val="bullet"/>
      <w:lvlText w:val=""/>
      <w:lvlJc w:val="left"/>
      <w:pPr>
        <w:ind w:left="6480" w:hanging="360"/>
      </w:pPr>
      <w:rPr>
        <w:rFonts w:ascii="Wingdings" w:hAnsi="Wingdings" w:hint="default"/>
      </w:rPr>
    </w:lvl>
  </w:abstractNum>
  <w:abstractNum w:abstractNumId="7" w15:restartNumberingAfterBreak="0">
    <w:nsid w:val="34956B3B"/>
    <w:multiLevelType w:val="hybridMultilevel"/>
    <w:tmpl w:val="FFFFFFFF"/>
    <w:lvl w:ilvl="0" w:tplc="E1FC12FC">
      <w:start w:val="1"/>
      <w:numFmt w:val="bullet"/>
      <w:lvlText w:val=""/>
      <w:lvlJc w:val="left"/>
      <w:pPr>
        <w:ind w:left="720" w:hanging="360"/>
      </w:pPr>
      <w:rPr>
        <w:rFonts w:ascii="Symbol" w:hAnsi="Symbol" w:hint="default"/>
      </w:rPr>
    </w:lvl>
    <w:lvl w:ilvl="1" w:tplc="94B0B56A">
      <w:start w:val="1"/>
      <w:numFmt w:val="bullet"/>
      <w:lvlText w:val="o"/>
      <w:lvlJc w:val="left"/>
      <w:pPr>
        <w:ind w:left="1440" w:hanging="360"/>
      </w:pPr>
      <w:rPr>
        <w:rFonts w:ascii="Courier New" w:hAnsi="Courier New" w:hint="default"/>
      </w:rPr>
    </w:lvl>
    <w:lvl w:ilvl="2" w:tplc="32B6F254">
      <w:start w:val="1"/>
      <w:numFmt w:val="bullet"/>
      <w:lvlText w:val=""/>
      <w:lvlJc w:val="left"/>
      <w:pPr>
        <w:ind w:left="2160" w:hanging="360"/>
      </w:pPr>
      <w:rPr>
        <w:rFonts w:ascii="Wingdings" w:hAnsi="Wingdings" w:hint="default"/>
      </w:rPr>
    </w:lvl>
    <w:lvl w:ilvl="3" w:tplc="370C202A">
      <w:start w:val="1"/>
      <w:numFmt w:val="bullet"/>
      <w:lvlText w:val=""/>
      <w:lvlJc w:val="left"/>
      <w:pPr>
        <w:ind w:left="2880" w:hanging="360"/>
      </w:pPr>
      <w:rPr>
        <w:rFonts w:ascii="Symbol" w:hAnsi="Symbol" w:hint="default"/>
      </w:rPr>
    </w:lvl>
    <w:lvl w:ilvl="4" w:tplc="56B6E3C0">
      <w:start w:val="1"/>
      <w:numFmt w:val="bullet"/>
      <w:lvlText w:val="o"/>
      <w:lvlJc w:val="left"/>
      <w:pPr>
        <w:ind w:left="3600" w:hanging="360"/>
      </w:pPr>
      <w:rPr>
        <w:rFonts w:ascii="Courier New" w:hAnsi="Courier New" w:hint="default"/>
      </w:rPr>
    </w:lvl>
    <w:lvl w:ilvl="5" w:tplc="E480A528">
      <w:start w:val="1"/>
      <w:numFmt w:val="bullet"/>
      <w:lvlText w:val=""/>
      <w:lvlJc w:val="left"/>
      <w:pPr>
        <w:ind w:left="4320" w:hanging="360"/>
      </w:pPr>
      <w:rPr>
        <w:rFonts w:ascii="Wingdings" w:hAnsi="Wingdings" w:hint="default"/>
      </w:rPr>
    </w:lvl>
    <w:lvl w:ilvl="6" w:tplc="9816FA08">
      <w:start w:val="1"/>
      <w:numFmt w:val="bullet"/>
      <w:lvlText w:val=""/>
      <w:lvlJc w:val="left"/>
      <w:pPr>
        <w:ind w:left="5040" w:hanging="360"/>
      </w:pPr>
      <w:rPr>
        <w:rFonts w:ascii="Symbol" w:hAnsi="Symbol" w:hint="default"/>
      </w:rPr>
    </w:lvl>
    <w:lvl w:ilvl="7" w:tplc="A20AF92A">
      <w:start w:val="1"/>
      <w:numFmt w:val="bullet"/>
      <w:lvlText w:val="o"/>
      <w:lvlJc w:val="left"/>
      <w:pPr>
        <w:ind w:left="5760" w:hanging="360"/>
      </w:pPr>
      <w:rPr>
        <w:rFonts w:ascii="Courier New" w:hAnsi="Courier New" w:hint="default"/>
      </w:rPr>
    </w:lvl>
    <w:lvl w:ilvl="8" w:tplc="6E6EE9A6">
      <w:start w:val="1"/>
      <w:numFmt w:val="bullet"/>
      <w:lvlText w:val=""/>
      <w:lvlJc w:val="left"/>
      <w:pPr>
        <w:ind w:left="6480" w:hanging="360"/>
      </w:pPr>
      <w:rPr>
        <w:rFonts w:ascii="Wingdings" w:hAnsi="Wingdings" w:hint="default"/>
      </w:rPr>
    </w:lvl>
  </w:abstractNum>
  <w:abstractNum w:abstractNumId="8" w15:restartNumberingAfterBreak="0">
    <w:nsid w:val="47AC9C8B"/>
    <w:multiLevelType w:val="hybridMultilevel"/>
    <w:tmpl w:val="FFFFFFFF"/>
    <w:lvl w:ilvl="0" w:tplc="7DCC77E2">
      <w:start w:val="1"/>
      <w:numFmt w:val="decimal"/>
      <w:lvlText w:val="%1."/>
      <w:lvlJc w:val="left"/>
      <w:pPr>
        <w:ind w:left="720" w:hanging="360"/>
      </w:pPr>
    </w:lvl>
    <w:lvl w:ilvl="1" w:tplc="9C167D14">
      <w:start w:val="1"/>
      <w:numFmt w:val="lowerLetter"/>
      <w:lvlText w:val="%2."/>
      <w:lvlJc w:val="left"/>
      <w:pPr>
        <w:ind w:left="1440" w:hanging="360"/>
      </w:pPr>
    </w:lvl>
    <w:lvl w:ilvl="2" w:tplc="0CEC1B0A">
      <w:start w:val="1"/>
      <w:numFmt w:val="lowerRoman"/>
      <w:lvlText w:val="%3."/>
      <w:lvlJc w:val="right"/>
      <w:pPr>
        <w:ind w:left="2160" w:hanging="180"/>
      </w:pPr>
    </w:lvl>
    <w:lvl w:ilvl="3" w:tplc="CE16B4D0">
      <w:start w:val="1"/>
      <w:numFmt w:val="decimal"/>
      <w:lvlText w:val="%4."/>
      <w:lvlJc w:val="left"/>
      <w:pPr>
        <w:ind w:left="2880" w:hanging="360"/>
      </w:pPr>
    </w:lvl>
    <w:lvl w:ilvl="4" w:tplc="01A8053E">
      <w:start w:val="1"/>
      <w:numFmt w:val="lowerLetter"/>
      <w:lvlText w:val="%5."/>
      <w:lvlJc w:val="left"/>
      <w:pPr>
        <w:ind w:left="3600" w:hanging="360"/>
      </w:pPr>
    </w:lvl>
    <w:lvl w:ilvl="5" w:tplc="7924E234">
      <w:start w:val="1"/>
      <w:numFmt w:val="lowerRoman"/>
      <w:lvlText w:val="%6."/>
      <w:lvlJc w:val="right"/>
      <w:pPr>
        <w:ind w:left="4320" w:hanging="180"/>
      </w:pPr>
    </w:lvl>
    <w:lvl w:ilvl="6" w:tplc="A92A1930">
      <w:start w:val="1"/>
      <w:numFmt w:val="decimal"/>
      <w:lvlText w:val="%7."/>
      <w:lvlJc w:val="left"/>
      <w:pPr>
        <w:ind w:left="5040" w:hanging="360"/>
      </w:pPr>
    </w:lvl>
    <w:lvl w:ilvl="7" w:tplc="A7423E00">
      <w:start w:val="1"/>
      <w:numFmt w:val="lowerLetter"/>
      <w:lvlText w:val="%8."/>
      <w:lvlJc w:val="left"/>
      <w:pPr>
        <w:ind w:left="5760" w:hanging="360"/>
      </w:pPr>
    </w:lvl>
    <w:lvl w:ilvl="8" w:tplc="0AC0E1FA">
      <w:start w:val="1"/>
      <w:numFmt w:val="lowerRoman"/>
      <w:lvlText w:val="%9."/>
      <w:lvlJc w:val="right"/>
      <w:pPr>
        <w:ind w:left="6480" w:hanging="180"/>
      </w:pPr>
    </w:lvl>
  </w:abstractNum>
  <w:abstractNum w:abstractNumId="9" w15:restartNumberingAfterBreak="0">
    <w:nsid w:val="695844CB"/>
    <w:multiLevelType w:val="hybridMultilevel"/>
    <w:tmpl w:val="9BB28EAE"/>
    <w:lvl w:ilvl="0" w:tplc="45AEAAB0">
      <w:start w:val="1"/>
      <w:numFmt w:val="decimal"/>
      <w:lvlText w:val="%1."/>
      <w:lvlJc w:val="left"/>
      <w:pPr>
        <w:ind w:left="720" w:hanging="360"/>
      </w:pPr>
    </w:lvl>
    <w:lvl w:ilvl="1" w:tplc="8EBE98EE">
      <w:start w:val="1"/>
      <w:numFmt w:val="lowerLetter"/>
      <w:lvlText w:val="%2."/>
      <w:lvlJc w:val="left"/>
      <w:pPr>
        <w:ind w:left="1440" w:hanging="360"/>
      </w:pPr>
    </w:lvl>
    <w:lvl w:ilvl="2" w:tplc="4CFCF04E">
      <w:start w:val="1"/>
      <w:numFmt w:val="lowerRoman"/>
      <w:lvlText w:val="%3."/>
      <w:lvlJc w:val="right"/>
      <w:pPr>
        <w:ind w:left="2160" w:hanging="180"/>
      </w:pPr>
    </w:lvl>
    <w:lvl w:ilvl="3" w:tplc="77DA7A06">
      <w:start w:val="1"/>
      <w:numFmt w:val="decimal"/>
      <w:lvlText w:val="%4."/>
      <w:lvlJc w:val="left"/>
      <w:pPr>
        <w:ind w:left="2880" w:hanging="360"/>
      </w:pPr>
    </w:lvl>
    <w:lvl w:ilvl="4" w:tplc="B6AEC4C6">
      <w:start w:val="1"/>
      <w:numFmt w:val="lowerLetter"/>
      <w:lvlText w:val="%5."/>
      <w:lvlJc w:val="left"/>
      <w:pPr>
        <w:ind w:left="3600" w:hanging="360"/>
      </w:pPr>
    </w:lvl>
    <w:lvl w:ilvl="5" w:tplc="7C94BA96">
      <w:start w:val="1"/>
      <w:numFmt w:val="lowerRoman"/>
      <w:lvlText w:val="%6."/>
      <w:lvlJc w:val="right"/>
      <w:pPr>
        <w:ind w:left="4320" w:hanging="180"/>
      </w:pPr>
    </w:lvl>
    <w:lvl w:ilvl="6" w:tplc="870EB2AE">
      <w:start w:val="1"/>
      <w:numFmt w:val="decimal"/>
      <w:lvlText w:val="%7."/>
      <w:lvlJc w:val="left"/>
      <w:pPr>
        <w:ind w:left="5040" w:hanging="360"/>
      </w:pPr>
    </w:lvl>
    <w:lvl w:ilvl="7" w:tplc="3488CBCE">
      <w:start w:val="1"/>
      <w:numFmt w:val="lowerLetter"/>
      <w:lvlText w:val="%8."/>
      <w:lvlJc w:val="left"/>
      <w:pPr>
        <w:ind w:left="5760" w:hanging="360"/>
      </w:pPr>
    </w:lvl>
    <w:lvl w:ilvl="8" w:tplc="2638B3C6">
      <w:start w:val="1"/>
      <w:numFmt w:val="lowerRoman"/>
      <w:lvlText w:val="%9."/>
      <w:lvlJc w:val="right"/>
      <w:pPr>
        <w:ind w:left="6480" w:hanging="180"/>
      </w:pPr>
    </w:lvl>
  </w:abstractNum>
  <w:num w:numId="1">
    <w:abstractNumId w:val="1"/>
  </w:num>
  <w:num w:numId="2">
    <w:abstractNumId w:val="8"/>
  </w:num>
  <w:num w:numId="3">
    <w:abstractNumId w:val="5"/>
  </w:num>
  <w:num w:numId="4">
    <w:abstractNumId w:val="6"/>
  </w:num>
  <w:num w:numId="5">
    <w:abstractNumId w:val="2"/>
  </w:num>
  <w:num w:numId="6">
    <w:abstractNumId w:val="3"/>
  </w:num>
  <w:num w:numId="7">
    <w:abstractNumId w:val="7"/>
  </w:num>
  <w:num w:numId="8">
    <w:abstractNumId w:val="9"/>
  </w:num>
  <w:num w:numId="9">
    <w:abstractNumId w:val="4"/>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AA"/>
    <w:rsid w:val="00000951"/>
    <w:rsid w:val="0000327D"/>
    <w:rsid w:val="00005CC0"/>
    <w:rsid w:val="00012B48"/>
    <w:rsid w:val="00025897"/>
    <w:rsid w:val="0003145E"/>
    <w:rsid w:val="000361C8"/>
    <w:rsid w:val="000425B2"/>
    <w:rsid w:val="00055B9E"/>
    <w:rsid w:val="00064288"/>
    <w:rsid w:val="000760B9"/>
    <w:rsid w:val="00077744"/>
    <w:rsid w:val="000B5A5D"/>
    <w:rsid w:val="000D6C76"/>
    <w:rsid w:val="000D719D"/>
    <w:rsid w:val="000E2C16"/>
    <w:rsid w:val="000F3039"/>
    <w:rsid w:val="00103534"/>
    <w:rsid w:val="0011B02D"/>
    <w:rsid w:val="00136365"/>
    <w:rsid w:val="00144C86"/>
    <w:rsid w:val="001976D7"/>
    <w:rsid w:val="00199923"/>
    <w:rsid w:val="001A5534"/>
    <w:rsid w:val="001C4FA9"/>
    <w:rsid w:val="001C7445"/>
    <w:rsid w:val="001C7EC9"/>
    <w:rsid w:val="0023E349"/>
    <w:rsid w:val="002402F8"/>
    <w:rsid w:val="0025183B"/>
    <w:rsid w:val="002552A5"/>
    <w:rsid w:val="00261EE2"/>
    <w:rsid w:val="002A687A"/>
    <w:rsid w:val="002E1D5F"/>
    <w:rsid w:val="002E26B7"/>
    <w:rsid w:val="003228E7"/>
    <w:rsid w:val="00335014"/>
    <w:rsid w:val="003740D8"/>
    <w:rsid w:val="0038CA28"/>
    <w:rsid w:val="0039513A"/>
    <w:rsid w:val="00396619"/>
    <w:rsid w:val="003A06C2"/>
    <w:rsid w:val="003B73EE"/>
    <w:rsid w:val="003C79F5"/>
    <w:rsid w:val="003F4454"/>
    <w:rsid w:val="00406B64"/>
    <w:rsid w:val="00406E4F"/>
    <w:rsid w:val="00445196"/>
    <w:rsid w:val="004454D3"/>
    <w:rsid w:val="004564DB"/>
    <w:rsid w:val="00467A01"/>
    <w:rsid w:val="00471C5F"/>
    <w:rsid w:val="00486C32"/>
    <w:rsid w:val="004A16D4"/>
    <w:rsid w:val="004CF0A0"/>
    <w:rsid w:val="005365AA"/>
    <w:rsid w:val="00557DC2"/>
    <w:rsid w:val="005622B6"/>
    <w:rsid w:val="005740D4"/>
    <w:rsid w:val="0060697E"/>
    <w:rsid w:val="006212AC"/>
    <w:rsid w:val="0062CB4A"/>
    <w:rsid w:val="00660E92"/>
    <w:rsid w:val="00664838"/>
    <w:rsid w:val="00694C09"/>
    <w:rsid w:val="006C0A64"/>
    <w:rsid w:val="006C1E05"/>
    <w:rsid w:val="00722820"/>
    <w:rsid w:val="00744AF2"/>
    <w:rsid w:val="0077472D"/>
    <w:rsid w:val="00781799"/>
    <w:rsid w:val="007A0573"/>
    <w:rsid w:val="00804A87"/>
    <w:rsid w:val="00837024"/>
    <w:rsid w:val="008560FC"/>
    <w:rsid w:val="00861717"/>
    <w:rsid w:val="008820AA"/>
    <w:rsid w:val="0088EB05"/>
    <w:rsid w:val="008939E7"/>
    <w:rsid w:val="008B4D29"/>
    <w:rsid w:val="008B9DC5"/>
    <w:rsid w:val="008D1BF7"/>
    <w:rsid w:val="00915E2F"/>
    <w:rsid w:val="00927DC5"/>
    <w:rsid w:val="00931705"/>
    <w:rsid w:val="00931A9B"/>
    <w:rsid w:val="00944A60"/>
    <w:rsid w:val="00991D99"/>
    <w:rsid w:val="009A0B85"/>
    <w:rsid w:val="009A5D5E"/>
    <w:rsid w:val="009C37A5"/>
    <w:rsid w:val="009C4669"/>
    <w:rsid w:val="00A14063"/>
    <w:rsid w:val="00A4448C"/>
    <w:rsid w:val="00A47276"/>
    <w:rsid w:val="00A51AAB"/>
    <w:rsid w:val="00A6647A"/>
    <w:rsid w:val="00A70D66"/>
    <w:rsid w:val="00A70DFC"/>
    <w:rsid w:val="00A810F8"/>
    <w:rsid w:val="00AC0550"/>
    <w:rsid w:val="00AC0581"/>
    <w:rsid w:val="00AC2A51"/>
    <w:rsid w:val="00AC568D"/>
    <w:rsid w:val="00B13F5F"/>
    <w:rsid w:val="00B49650"/>
    <w:rsid w:val="00B55CBE"/>
    <w:rsid w:val="00B60F1D"/>
    <w:rsid w:val="00B63DC3"/>
    <w:rsid w:val="00B8C083"/>
    <w:rsid w:val="00BA2B78"/>
    <w:rsid w:val="00BC2255"/>
    <w:rsid w:val="00BD2BAE"/>
    <w:rsid w:val="00BD6775"/>
    <w:rsid w:val="00BE66C9"/>
    <w:rsid w:val="00C1334C"/>
    <w:rsid w:val="00C5C369"/>
    <w:rsid w:val="00C66039"/>
    <w:rsid w:val="00C71563"/>
    <w:rsid w:val="00C907FD"/>
    <w:rsid w:val="00C920AC"/>
    <w:rsid w:val="00D15F82"/>
    <w:rsid w:val="00D22E11"/>
    <w:rsid w:val="00D24430"/>
    <w:rsid w:val="00D65DB0"/>
    <w:rsid w:val="00DA1A1F"/>
    <w:rsid w:val="00E203AA"/>
    <w:rsid w:val="00E41443"/>
    <w:rsid w:val="00E635BD"/>
    <w:rsid w:val="00E731DE"/>
    <w:rsid w:val="00E995F6"/>
    <w:rsid w:val="00EB2D5F"/>
    <w:rsid w:val="00EC2CD3"/>
    <w:rsid w:val="00EE1616"/>
    <w:rsid w:val="00F0356D"/>
    <w:rsid w:val="00F30D64"/>
    <w:rsid w:val="00F3EE20"/>
    <w:rsid w:val="00F56F76"/>
    <w:rsid w:val="00F7510C"/>
    <w:rsid w:val="00FAB188"/>
    <w:rsid w:val="00FCBC35"/>
    <w:rsid w:val="00FD3B07"/>
    <w:rsid w:val="00FD688A"/>
    <w:rsid w:val="010441C4"/>
    <w:rsid w:val="01209835"/>
    <w:rsid w:val="0122D238"/>
    <w:rsid w:val="0128855F"/>
    <w:rsid w:val="0130EB62"/>
    <w:rsid w:val="013292CD"/>
    <w:rsid w:val="0132C14D"/>
    <w:rsid w:val="01430FFD"/>
    <w:rsid w:val="014909B6"/>
    <w:rsid w:val="014B42DF"/>
    <w:rsid w:val="0164EA26"/>
    <w:rsid w:val="01740137"/>
    <w:rsid w:val="0178A860"/>
    <w:rsid w:val="0181D050"/>
    <w:rsid w:val="01901862"/>
    <w:rsid w:val="01920C6F"/>
    <w:rsid w:val="0196BCF9"/>
    <w:rsid w:val="019BD0FD"/>
    <w:rsid w:val="019CF773"/>
    <w:rsid w:val="01A74217"/>
    <w:rsid w:val="01A93570"/>
    <w:rsid w:val="01AE767D"/>
    <w:rsid w:val="01AF128F"/>
    <w:rsid w:val="01C0FA89"/>
    <w:rsid w:val="01F7E1F7"/>
    <w:rsid w:val="02010C82"/>
    <w:rsid w:val="021B1C2C"/>
    <w:rsid w:val="0220DE07"/>
    <w:rsid w:val="023C169C"/>
    <w:rsid w:val="02509D6F"/>
    <w:rsid w:val="026EBE3E"/>
    <w:rsid w:val="028151A4"/>
    <w:rsid w:val="0285FB1E"/>
    <w:rsid w:val="0292C815"/>
    <w:rsid w:val="0294D9CF"/>
    <w:rsid w:val="029D400E"/>
    <w:rsid w:val="02A460CB"/>
    <w:rsid w:val="02BBF4CD"/>
    <w:rsid w:val="02D4D354"/>
    <w:rsid w:val="02D54D63"/>
    <w:rsid w:val="02FABDEB"/>
    <w:rsid w:val="02FD8857"/>
    <w:rsid w:val="02FF73D4"/>
    <w:rsid w:val="03009782"/>
    <w:rsid w:val="033ADF63"/>
    <w:rsid w:val="033E1DBB"/>
    <w:rsid w:val="03571FCE"/>
    <w:rsid w:val="035CE8A3"/>
    <w:rsid w:val="0367C3E1"/>
    <w:rsid w:val="036EF2ED"/>
    <w:rsid w:val="039DC863"/>
    <w:rsid w:val="039DF53F"/>
    <w:rsid w:val="03B62E53"/>
    <w:rsid w:val="03BB888D"/>
    <w:rsid w:val="03CD2FC3"/>
    <w:rsid w:val="03CE7131"/>
    <w:rsid w:val="03D4A057"/>
    <w:rsid w:val="0402CA71"/>
    <w:rsid w:val="04044DE0"/>
    <w:rsid w:val="0404C82F"/>
    <w:rsid w:val="040C530A"/>
    <w:rsid w:val="0423A348"/>
    <w:rsid w:val="042B3A6B"/>
    <w:rsid w:val="04350832"/>
    <w:rsid w:val="0438A691"/>
    <w:rsid w:val="044D0889"/>
    <w:rsid w:val="0478F520"/>
    <w:rsid w:val="047F7665"/>
    <w:rsid w:val="04862EBC"/>
    <w:rsid w:val="049EB673"/>
    <w:rsid w:val="04A9D5EC"/>
    <w:rsid w:val="04AEC2B0"/>
    <w:rsid w:val="04AF470D"/>
    <w:rsid w:val="04BDC2DC"/>
    <w:rsid w:val="04C5F38A"/>
    <w:rsid w:val="04D09CA4"/>
    <w:rsid w:val="04FA2D6B"/>
    <w:rsid w:val="04FFD2D6"/>
    <w:rsid w:val="051D5227"/>
    <w:rsid w:val="051FD787"/>
    <w:rsid w:val="05305A49"/>
    <w:rsid w:val="05398178"/>
    <w:rsid w:val="05417487"/>
    <w:rsid w:val="054BD822"/>
    <w:rsid w:val="054CA118"/>
    <w:rsid w:val="055F402E"/>
    <w:rsid w:val="05749D9A"/>
    <w:rsid w:val="0589B8AA"/>
    <w:rsid w:val="058CF910"/>
    <w:rsid w:val="0591323F"/>
    <w:rsid w:val="05926B0F"/>
    <w:rsid w:val="059DFF21"/>
    <w:rsid w:val="05F52781"/>
    <w:rsid w:val="05F72DE7"/>
    <w:rsid w:val="0618383E"/>
    <w:rsid w:val="061D4B7B"/>
    <w:rsid w:val="06262458"/>
    <w:rsid w:val="062884B8"/>
    <w:rsid w:val="062F199A"/>
    <w:rsid w:val="06642372"/>
    <w:rsid w:val="0666E73D"/>
    <w:rsid w:val="066ECC8F"/>
    <w:rsid w:val="0672AC99"/>
    <w:rsid w:val="06739BD5"/>
    <w:rsid w:val="0682E360"/>
    <w:rsid w:val="068B428B"/>
    <w:rsid w:val="06A50BEE"/>
    <w:rsid w:val="06B5FD13"/>
    <w:rsid w:val="06C6CDB9"/>
    <w:rsid w:val="06D8AB47"/>
    <w:rsid w:val="07028BA8"/>
    <w:rsid w:val="070C1119"/>
    <w:rsid w:val="070D3663"/>
    <w:rsid w:val="071DBE9C"/>
    <w:rsid w:val="071FE8B6"/>
    <w:rsid w:val="07299D9C"/>
    <w:rsid w:val="073A8499"/>
    <w:rsid w:val="0742B0D3"/>
    <w:rsid w:val="0752BA49"/>
    <w:rsid w:val="07967B1C"/>
    <w:rsid w:val="07ACF3A6"/>
    <w:rsid w:val="07B6CD92"/>
    <w:rsid w:val="07BBAA17"/>
    <w:rsid w:val="07BBAA4C"/>
    <w:rsid w:val="07C10E58"/>
    <w:rsid w:val="07C1A587"/>
    <w:rsid w:val="07C5C746"/>
    <w:rsid w:val="07C7F9DB"/>
    <w:rsid w:val="07C997E7"/>
    <w:rsid w:val="07CA1732"/>
    <w:rsid w:val="07CDB086"/>
    <w:rsid w:val="07CEFBBC"/>
    <w:rsid w:val="07CF38BD"/>
    <w:rsid w:val="07FC64AA"/>
    <w:rsid w:val="082AEDCD"/>
    <w:rsid w:val="083251EF"/>
    <w:rsid w:val="08329E90"/>
    <w:rsid w:val="083CD78E"/>
    <w:rsid w:val="08460670"/>
    <w:rsid w:val="08688FC5"/>
    <w:rsid w:val="0877CDE8"/>
    <w:rsid w:val="08AD4502"/>
    <w:rsid w:val="08AF69F6"/>
    <w:rsid w:val="08B79027"/>
    <w:rsid w:val="08BEE0BA"/>
    <w:rsid w:val="08C0F76A"/>
    <w:rsid w:val="08C31C69"/>
    <w:rsid w:val="08C5A8DB"/>
    <w:rsid w:val="08C78060"/>
    <w:rsid w:val="08D2CE64"/>
    <w:rsid w:val="08DB48B1"/>
    <w:rsid w:val="08FB1267"/>
    <w:rsid w:val="090F4013"/>
    <w:rsid w:val="090FCF64"/>
    <w:rsid w:val="09229BAB"/>
    <w:rsid w:val="0925799C"/>
    <w:rsid w:val="092BFAA0"/>
    <w:rsid w:val="0933C0B6"/>
    <w:rsid w:val="0935F047"/>
    <w:rsid w:val="093FDEC9"/>
    <w:rsid w:val="09531F3A"/>
    <w:rsid w:val="09610C37"/>
    <w:rsid w:val="097CE2CA"/>
    <w:rsid w:val="097E60DB"/>
    <w:rsid w:val="09846919"/>
    <w:rsid w:val="0999D4E4"/>
    <w:rsid w:val="099D3113"/>
    <w:rsid w:val="09AA332D"/>
    <w:rsid w:val="09BBCB52"/>
    <w:rsid w:val="09CF700C"/>
    <w:rsid w:val="09DDE492"/>
    <w:rsid w:val="0A0523C4"/>
    <w:rsid w:val="0A15A036"/>
    <w:rsid w:val="0A3AAF79"/>
    <w:rsid w:val="0A56F2A4"/>
    <w:rsid w:val="0A74EEF2"/>
    <w:rsid w:val="0A88DC8D"/>
    <w:rsid w:val="0A9564F6"/>
    <w:rsid w:val="0A98D801"/>
    <w:rsid w:val="0ABDA52A"/>
    <w:rsid w:val="0ABE6F00"/>
    <w:rsid w:val="0ABEC7BA"/>
    <w:rsid w:val="0AC1154A"/>
    <w:rsid w:val="0AC8786D"/>
    <w:rsid w:val="0AD05282"/>
    <w:rsid w:val="0AD40F18"/>
    <w:rsid w:val="0AF440B6"/>
    <w:rsid w:val="0B15C075"/>
    <w:rsid w:val="0B186276"/>
    <w:rsid w:val="0B1B0E8E"/>
    <w:rsid w:val="0B2948CE"/>
    <w:rsid w:val="0B295F80"/>
    <w:rsid w:val="0B3A0915"/>
    <w:rsid w:val="0B3C30D7"/>
    <w:rsid w:val="0B422D5D"/>
    <w:rsid w:val="0B486EED"/>
    <w:rsid w:val="0B4BCC26"/>
    <w:rsid w:val="0B5B1C2C"/>
    <w:rsid w:val="0B5BBB66"/>
    <w:rsid w:val="0B615100"/>
    <w:rsid w:val="0B68F21E"/>
    <w:rsid w:val="0B6D04F2"/>
    <w:rsid w:val="0B81FBA1"/>
    <w:rsid w:val="0B8D0667"/>
    <w:rsid w:val="0BA92FC3"/>
    <w:rsid w:val="0BB3FD60"/>
    <w:rsid w:val="0BB7DEB6"/>
    <w:rsid w:val="0BD748EF"/>
    <w:rsid w:val="0BE8D848"/>
    <w:rsid w:val="0C41B56F"/>
    <w:rsid w:val="0C687630"/>
    <w:rsid w:val="0C805B22"/>
    <w:rsid w:val="0C858999"/>
    <w:rsid w:val="0C8DAB37"/>
    <w:rsid w:val="0C955D78"/>
    <w:rsid w:val="0CA39224"/>
    <w:rsid w:val="0CB84090"/>
    <w:rsid w:val="0D06D6CF"/>
    <w:rsid w:val="0D0BA75A"/>
    <w:rsid w:val="0D0D4E97"/>
    <w:rsid w:val="0D106876"/>
    <w:rsid w:val="0D196E67"/>
    <w:rsid w:val="0D2E1B82"/>
    <w:rsid w:val="0D2ED296"/>
    <w:rsid w:val="0D331537"/>
    <w:rsid w:val="0D43FB23"/>
    <w:rsid w:val="0D5668FD"/>
    <w:rsid w:val="0D57F36B"/>
    <w:rsid w:val="0D6D97FD"/>
    <w:rsid w:val="0D770F88"/>
    <w:rsid w:val="0D788F1A"/>
    <w:rsid w:val="0D8110D3"/>
    <w:rsid w:val="0D8A15CA"/>
    <w:rsid w:val="0D936E88"/>
    <w:rsid w:val="0D9B4294"/>
    <w:rsid w:val="0D9E3D25"/>
    <w:rsid w:val="0DA40A40"/>
    <w:rsid w:val="0DA47819"/>
    <w:rsid w:val="0DAB58C7"/>
    <w:rsid w:val="0DB0CAD4"/>
    <w:rsid w:val="0DC4639F"/>
    <w:rsid w:val="0DF1D806"/>
    <w:rsid w:val="0E053499"/>
    <w:rsid w:val="0E198C42"/>
    <w:rsid w:val="0E1B6EF8"/>
    <w:rsid w:val="0E3202AE"/>
    <w:rsid w:val="0E365A79"/>
    <w:rsid w:val="0E5BEF0B"/>
    <w:rsid w:val="0E64AB50"/>
    <w:rsid w:val="0E67A3A1"/>
    <w:rsid w:val="0E820FC1"/>
    <w:rsid w:val="0E829C58"/>
    <w:rsid w:val="0E84FF61"/>
    <w:rsid w:val="0E8C1554"/>
    <w:rsid w:val="0E9D7F11"/>
    <w:rsid w:val="0EA8590A"/>
    <w:rsid w:val="0EAAD583"/>
    <w:rsid w:val="0EB2F606"/>
    <w:rsid w:val="0EBE0DE4"/>
    <w:rsid w:val="0EBEC090"/>
    <w:rsid w:val="0EC2372F"/>
    <w:rsid w:val="0ECAECFB"/>
    <w:rsid w:val="0EDDFE9E"/>
    <w:rsid w:val="0EF14EF1"/>
    <w:rsid w:val="0EF73DCB"/>
    <w:rsid w:val="0F158377"/>
    <w:rsid w:val="0F24210C"/>
    <w:rsid w:val="0F259B55"/>
    <w:rsid w:val="0F285843"/>
    <w:rsid w:val="0F29D99C"/>
    <w:rsid w:val="0F309C5C"/>
    <w:rsid w:val="0F38A8DB"/>
    <w:rsid w:val="0F449EFE"/>
    <w:rsid w:val="0F4DC2FE"/>
    <w:rsid w:val="0F68C3EB"/>
    <w:rsid w:val="0F6B4C5C"/>
    <w:rsid w:val="0F7BB397"/>
    <w:rsid w:val="0F958E22"/>
    <w:rsid w:val="0FD09732"/>
    <w:rsid w:val="0FD408A0"/>
    <w:rsid w:val="0FD40EBC"/>
    <w:rsid w:val="0FDB4366"/>
    <w:rsid w:val="0FE3550C"/>
    <w:rsid w:val="10221A6A"/>
    <w:rsid w:val="1034767C"/>
    <w:rsid w:val="1037E707"/>
    <w:rsid w:val="1047F0F8"/>
    <w:rsid w:val="104D86B0"/>
    <w:rsid w:val="105B9CC5"/>
    <w:rsid w:val="105D6EEE"/>
    <w:rsid w:val="106505AE"/>
    <w:rsid w:val="106F19B4"/>
    <w:rsid w:val="10A1C6DD"/>
    <w:rsid w:val="10A3291D"/>
    <w:rsid w:val="10ABBD21"/>
    <w:rsid w:val="10AF037D"/>
    <w:rsid w:val="10BF1387"/>
    <w:rsid w:val="10C22CBA"/>
    <w:rsid w:val="10C92C1A"/>
    <w:rsid w:val="10CC670F"/>
    <w:rsid w:val="10CE43DA"/>
    <w:rsid w:val="10E9A3BD"/>
    <w:rsid w:val="11427C96"/>
    <w:rsid w:val="11452150"/>
    <w:rsid w:val="11553EEB"/>
    <w:rsid w:val="119796E5"/>
    <w:rsid w:val="119DAA68"/>
    <w:rsid w:val="11B06023"/>
    <w:rsid w:val="11B7A103"/>
    <w:rsid w:val="11B8CC4E"/>
    <w:rsid w:val="11BED27B"/>
    <w:rsid w:val="11D064FF"/>
    <w:rsid w:val="1200B076"/>
    <w:rsid w:val="1209A3EF"/>
    <w:rsid w:val="12129C22"/>
    <w:rsid w:val="12274892"/>
    <w:rsid w:val="1229659A"/>
    <w:rsid w:val="1231D63B"/>
    <w:rsid w:val="12398A58"/>
    <w:rsid w:val="1244EC10"/>
    <w:rsid w:val="1246870B"/>
    <w:rsid w:val="12749118"/>
    <w:rsid w:val="127851E4"/>
    <w:rsid w:val="128B6A1F"/>
    <w:rsid w:val="12993110"/>
    <w:rsid w:val="129E732D"/>
    <w:rsid w:val="12AB0D48"/>
    <w:rsid w:val="12AB264B"/>
    <w:rsid w:val="12B2FCC4"/>
    <w:rsid w:val="12BF9625"/>
    <w:rsid w:val="12D4F832"/>
    <w:rsid w:val="12DC895B"/>
    <w:rsid w:val="12DDB223"/>
    <w:rsid w:val="12F80406"/>
    <w:rsid w:val="13165127"/>
    <w:rsid w:val="131DBCD2"/>
    <w:rsid w:val="132EDA64"/>
    <w:rsid w:val="133B2AC0"/>
    <w:rsid w:val="133EA0F4"/>
    <w:rsid w:val="134260F1"/>
    <w:rsid w:val="13481C7A"/>
    <w:rsid w:val="134E3E57"/>
    <w:rsid w:val="134EDCD8"/>
    <w:rsid w:val="1356B430"/>
    <w:rsid w:val="13601CE4"/>
    <w:rsid w:val="13877183"/>
    <w:rsid w:val="138C81B6"/>
    <w:rsid w:val="139193F6"/>
    <w:rsid w:val="13932F4D"/>
    <w:rsid w:val="1398F0BF"/>
    <w:rsid w:val="139E6F69"/>
    <w:rsid w:val="13A9C987"/>
    <w:rsid w:val="13AA84C9"/>
    <w:rsid w:val="13B1F2AE"/>
    <w:rsid w:val="13B27E46"/>
    <w:rsid w:val="13BE719C"/>
    <w:rsid w:val="13C66FE7"/>
    <w:rsid w:val="13CD8BF0"/>
    <w:rsid w:val="13CE15E7"/>
    <w:rsid w:val="13E15408"/>
    <w:rsid w:val="13F17C5C"/>
    <w:rsid w:val="1405C578"/>
    <w:rsid w:val="1419AB6E"/>
    <w:rsid w:val="1421E85C"/>
    <w:rsid w:val="145401EF"/>
    <w:rsid w:val="145FEF99"/>
    <w:rsid w:val="146DA6C8"/>
    <w:rsid w:val="14906718"/>
    <w:rsid w:val="14989CDE"/>
    <w:rsid w:val="149AA1E4"/>
    <w:rsid w:val="14B21AA8"/>
    <w:rsid w:val="14BDB796"/>
    <w:rsid w:val="14D68305"/>
    <w:rsid w:val="14D75337"/>
    <w:rsid w:val="14D8AF6C"/>
    <w:rsid w:val="1509205A"/>
    <w:rsid w:val="150C0AED"/>
    <w:rsid w:val="1528A849"/>
    <w:rsid w:val="153679D5"/>
    <w:rsid w:val="15571037"/>
    <w:rsid w:val="15592107"/>
    <w:rsid w:val="158F2FC8"/>
    <w:rsid w:val="159D2065"/>
    <w:rsid w:val="159EA99A"/>
    <w:rsid w:val="15B1CC1C"/>
    <w:rsid w:val="15B36040"/>
    <w:rsid w:val="15CC1C99"/>
    <w:rsid w:val="15D8A3EC"/>
    <w:rsid w:val="15E2BD1E"/>
    <w:rsid w:val="15F3F5CB"/>
    <w:rsid w:val="15FF4303"/>
    <w:rsid w:val="16121787"/>
    <w:rsid w:val="161BD292"/>
    <w:rsid w:val="16242395"/>
    <w:rsid w:val="162AE7EA"/>
    <w:rsid w:val="162C0EAD"/>
    <w:rsid w:val="162E8811"/>
    <w:rsid w:val="1648DC64"/>
    <w:rsid w:val="165FCF1B"/>
    <w:rsid w:val="1663F674"/>
    <w:rsid w:val="1670E8E8"/>
    <w:rsid w:val="167F25D9"/>
    <w:rsid w:val="167F6AD3"/>
    <w:rsid w:val="16A945C4"/>
    <w:rsid w:val="16A99494"/>
    <w:rsid w:val="16AE50FD"/>
    <w:rsid w:val="16BE0E95"/>
    <w:rsid w:val="16C84A16"/>
    <w:rsid w:val="16CD2622"/>
    <w:rsid w:val="16CFFDE6"/>
    <w:rsid w:val="16DD6EA8"/>
    <w:rsid w:val="16DE1A0B"/>
    <w:rsid w:val="16F29DA0"/>
    <w:rsid w:val="1713B963"/>
    <w:rsid w:val="171486DC"/>
    <w:rsid w:val="1724897A"/>
    <w:rsid w:val="1730564D"/>
    <w:rsid w:val="17309E3D"/>
    <w:rsid w:val="173144AD"/>
    <w:rsid w:val="1741107C"/>
    <w:rsid w:val="17424DB1"/>
    <w:rsid w:val="174D9AC2"/>
    <w:rsid w:val="174F5D5F"/>
    <w:rsid w:val="175633A7"/>
    <w:rsid w:val="17906554"/>
    <w:rsid w:val="1794A0F7"/>
    <w:rsid w:val="17A5812C"/>
    <w:rsid w:val="17CDB374"/>
    <w:rsid w:val="17DE8A23"/>
    <w:rsid w:val="17F83106"/>
    <w:rsid w:val="18072A7C"/>
    <w:rsid w:val="1814A875"/>
    <w:rsid w:val="181B4902"/>
    <w:rsid w:val="182E62E2"/>
    <w:rsid w:val="1831B1D9"/>
    <w:rsid w:val="18357391"/>
    <w:rsid w:val="184901C8"/>
    <w:rsid w:val="18781C01"/>
    <w:rsid w:val="1884C095"/>
    <w:rsid w:val="18B8AE75"/>
    <w:rsid w:val="18DA0F08"/>
    <w:rsid w:val="18DD6D97"/>
    <w:rsid w:val="18F64A41"/>
    <w:rsid w:val="19070193"/>
    <w:rsid w:val="190DAB00"/>
    <w:rsid w:val="190F8906"/>
    <w:rsid w:val="1922C72B"/>
    <w:rsid w:val="192C3EE8"/>
    <w:rsid w:val="194360D0"/>
    <w:rsid w:val="1957A8BA"/>
    <w:rsid w:val="1960BFE1"/>
    <w:rsid w:val="1963ECBC"/>
    <w:rsid w:val="19652451"/>
    <w:rsid w:val="196D1362"/>
    <w:rsid w:val="197E7546"/>
    <w:rsid w:val="19B281C2"/>
    <w:rsid w:val="19BEEC75"/>
    <w:rsid w:val="19C5B8B9"/>
    <w:rsid w:val="19C8FEEA"/>
    <w:rsid w:val="19D07CAD"/>
    <w:rsid w:val="19D67F5F"/>
    <w:rsid w:val="1A078D16"/>
    <w:rsid w:val="1A131BAE"/>
    <w:rsid w:val="1A1DD0CC"/>
    <w:rsid w:val="1A2BE1B3"/>
    <w:rsid w:val="1A33BB34"/>
    <w:rsid w:val="1A3AC23B"/>
    <w:rsid w:val="1A4D3BD7"/>
    <w:rsid w:val="1A77ACC3"/>
    <w:rsid w:val="1A81FFF4"/>
    <w:rsid w:val="1A8398E3"/>
    <w:rsid w:val="1A8B57E2"/>
    <w:rsid w:val="1A909691"/>
    <w:rsid w:val="1A94CDB5"/>
    <w:rsid w:val="1A9A9FFD"/>
    <w:rsid w:val="1AA7DE23"/>
    <w:rsid w:val="1AABB400"/>
    <w:rsid w:val="1AC05C1C"/>
    <w:rsid w:val="1AC094BA"/>
    <w:rsid w:val="1AEA9CFD"/>
    <w:rsid w:val="1AED711D"/>
    <w:rsid w:val="1B02E709"/>
    <w:rsid w:val="1B0810E7"/>
    <w:rsid w:val="1B10D476"/>
    <w:rsid w:val="1B12E188"/>
    <w:rsid w:val="1B18AC09"/>
    <w:rsid w:val="1B391EE4"/>
    <w:rsid w:val="1B6A3A8A"/>
    <w:rsid w:val="1B6BC22F"/>
    <w:rsid w:val="1B7FF584"/>
    <w:rsid w:val="1B871F4E"/>
    <w:rsid w:val="1B8833D1"/>
    <w:rsid w:val="1B971E12"/>
    <w:rsid w:val="1BAC2D2D"/>
    <w:rsid w:val="1BBCBA7A"/>
    <w:rsid w:val="1BC789E3"/>
    <w:rsid w:val="1BCB2FC2"/>
    <w:rsid w:val="1BEADBA5"/>
    <w:rsid w:val="1BEDED6F"/>
    <w:rsid w:val="1BF42940"/>
    <w:rsid w:val="1BF9A68D"/>
    <w:rsid w:val="1BFBD78B"/>
    <w:rsid w:val="1C0536F5"/>
    <w:rsid w:val="1C17C864"/>
    <w:rsid w:val="1C1879D5"/>
    <w:rsid w:val="1C190C7B"/>
    <w:rsid w:val="1C3737D4"/>
    <w:rsid w:val="1C38D17F"/>
    <w:rsid w:val="1C3D0881"/>
    <w:rsid w:val="1C466065"/>
    <w:rsid w:val="1C46FD11"/>
    <w:rsid w:val="1C5D14F9"/>
    <w:rsid w:val="1C5FCBDD"/>
    <w:rsid w:val="1C640E11"/>
    <w:rsid w:val="1C6A031A"/>
    <w:rsid w:val="1C6F87A3"/>
    <w:rsid w:val="1C822D71"/>
    <w:rsid w:val="1CA135E5"/>
    <w:rsid w:val="1CA4EEDA"/>
    <w:rsid w:val="1CC01611"/>
    <w:rsid w:val="1CEC4CAB"/>
    <w:rsid w:val="1CF63A85"/>
    <w:rsid w:val="1D10EFCB"/>
    <w:rsid w:val="1D2826D6"/>
    <w:rsid w:val="1D2B365A"/>
    <w:rsid w:val="1D35DE27"/>
    <w:rsid w:val="1D37BFAB"/>
    <w:rsid w:val="1D407CE8"/>
    <w:rsid w:val="1D44FF64"/>
    <w:rsid w:val="1D5EEE71"/>
    <w:rsid w:val="1D624713"/>
    <w:rsid w:val="1D62A11A"/>
    <w:rsid w:val="1D6FF0C9"/>
    <w:rsid w:val="1D77040C"/>
    <w:rsid w:val="1D799DFC"/>
    <w:rsid w:val="1D8FAF15"/>
    <w:rsid w:val="1DA3AE4E"/>
    <w:rsid w:val="1DA96ADE"/>
    <w:rsid w:val="1DB0B4AC"/>
    <w:rsid w:val="1DC30D0C"/>
    <w:rsid w:val="1DC525E6"/>
    <w:rsid w:val="1DDF28F6"/>
    <w:rsid w:val="1E07E9E0"/>
    <w:rsid w:val="1E0A1BAD"/>
    <w:rsid w:val="1E10CABA"/>
    <w:rsid w:val="1E190FF5"/>
    <w:rsid w:val="1E1AF890"/>
    <w:rsid w:val="1E2D8FF1"/>
    <w:rsid w:val="1E2DAF0C"/>
    <w:rsid w:val="1E30307D"/>
    <w:rsid w:val="1E44320C"/>
    <w:rsid w:val="1E769767"/>
    <w:rsid w:val="1E7899DD"/>
    <w:rsid w:val="1E8D2C2B"/>
    <w:rsid w:val="1E9BB7E5"/>
    <w:rsid w:val="1EB2AA2D"/>
    <w:rsid w:val="1EBEE1BC"/>
    <w:rsid w:val="1ED35A5F"/>
    <w:rsid w:val="1ED56DEE"/>
    <w:rsid w:val="1ED5CC5E"/>
    <w:rsid w:val="1EDE5B84"/>
    <w:rsid w:val="1EE26DBA"/>
    <w:rsid w:val="1EE430D9"/>
    <w:rsid w:val="1EE6D6FF"/>
    <w:rsid w:val="1EE97006"/>
    <w:rsid w:val="1EEB1D78"/>
    <w:rsid w:val="1EF50887"/>
    <w:rsid w:val="1F01733A"/>
    <w:rsid w:val="1F06F0AB"/>
    <w:rsid w:val="1F320486"/>
    <w:rsid w:val="1F3D0757"/>
    <w:rsid w:val="1F3E2720"/>
    <w:rsid w:val="1F4DE210"/>
    <w:rsid w:val="1F5C1662"/>
    <w:rsid w:val="1F6710A0"/>
    <w:rsid w:val="1F6E68B3"/>
    <w:rsid w:val="1F771C46"/>
    <w:rsid w:val="1F7DEAC8"/>
    <w:rsid w:val="1F80B2FD"/>
    <w:rsid w:val="1F8FF2EA"/>
    <w:rsid w:val="1FA8A05A"/>
    <w:rsid w:val="1FA9D035"/>
    <w:rsid w:val="1FBD7F55"/>
    <w:rsid w:val="1FC1123E"/>
    <w:rsid w:val="1FCB6248"/>
    <w:rsid w:val="1FCD208A"/>
    <w:rsid w:val="1FF0B466"/>
    <w:rsid w:val="1FF49078"/>
    <w:rsid w:val="201A9642"/>
    <w:rsid w:val="204A37C2"/>
    <w:rsid w:val="205EDB29"/>
    <w:rsid w:val="20694703"/>
    <w:rsid w:val="20986524"/>
    <w:rsid w:val="2098BE1D"/>
    <w:rsid w:val="20ADF28A"/>
    <w:rsid w:val="20D0ED40"/>
    <w:rsid w:val="20DA0FEB"/>
    <w:rsid w:val="20E5A9EA"/>
    <w:rsid w:val="20EEB3C0"/>
    <w:rsid w:val="20F60572"/>
    <w:rsid w:val="210BAA03"/>
    <w:rsid w:val="2123D554"/>
    <w:rsid w:val="21245FFE"/>
    <w:rsid w:val="2125FBAA"/>
    <w:rsid w:val="213A570E"/>
    <w:rsid w:val="214ACAD1"/>
    <w:rsid w:val="21652869"/>
    <w:rsid w:val="2168052C"/>
    <w:rsid w:val="217AC4F0"/>
    <w:rsid w:val="217BC5D6"/>
    <w:rsid w:val="217E42FD"/>
    <w:rsid w:val="217FF5D7"/>
    <w:rsid w:val="21BD86FF"/>
    <w:rsid w:val="21C96E2A"/>
    <w:rsid w:val="21D1D9E0"/>
    <w:rsid w:val="22045C0C"/>
    <w:rsid w:val="2204AA81"/>
    <w:rsid w:val="22219EFA"/>
    <w:rsid w:val="2235DCE4"/>
    <w:rsid w:val="223A1369"/>
    <w:rsid w:val="22463A53"/>
    <w:rsid w:val="2249F92E"/>
    <w:rsid w:val="224EFA15"/>
    <w:rsid w:val="2261A426"/>
    <w:rsid w:val="22691212"/>
    <w:rsid w:val="227D367D"/>
    <w:rsid w:val="228A451E"/>
    <w:rsid w:val="2297343F"/>
    <w:rsid w:val="22B9B34C"/>
    <w:rsid w:val="22BCFACB"/>
    <w:rsid w:val="22DA44AB"/>
    <w:rsid w:val="22F8A97D"/>
    <w:rsid w:val="23023020"/>
    <w:rsid w:val="230EEC8B"/>
    <w:rsid w:val="231B2B63"/>
    <w:rsid w:val="232C0DBF"/>
    <w:rsid w:val="233790D3"/>
    <w:rsid w:val="2360DE94"/>
    <w:rsid w:val="2363630F"/>
    <w:rsid w:val="23748821"/>
    <w:rsid w:val="237844B8"/>
    <w:rsid w:val="2385C07B"/>
    <w:rsid w:val="23B4B2CF"/>
    <w:rsid w:val="23CE28CB"/>
    <w:rsid w:val="23D9182A"/>
    <w:rsid w:val="23E1E662"/>
    <w:rsid w:val="23F61E2E"/>
    <w:rsid w:val="23FA337F"/>
    <w:rsid w:val="240BFC95"/>
    <w:rsid w:val="240F51C1"/>
    <w:rsid w:val="2429472E"/>
    <w:rsid w:val="242BBB66"/>
    <w:rsid w:val="2437FEF9"/>
    <w:rsid w:val="243CA2A5"/>
    <w:rsid w:val="243DB3EC"/>
    <w:rsid w:val="244B1614"/>
    <w:rsid w:val="244F39B7"/>
    <w:rsid w:val="2458EE38"/>
    <w:rsid w:val="246AC661"/>
    <w:rsid w:val="24700115"/>
    <w:rsid w:val="247089CB"/>
    <w:rsid w:val="248E865B"/>
    <w:rsid w:val="2494568D"/>
    <w:rsid w:val="24A7EF74"/>
    <w:rsid w:val="24B4502B"/>
    <w:rsid w:val="24E562A0"/>
    <w:rsid w:val="24F1D86B"/>
    <w:rsid w:val="25155ADD"/>
    <w:rsid w:val="25263924"/>
    <w:rsid w:val="2526CBDC"/>
    <w:rsid w:val="2543A133"/>
    <w:rsid w:val="2545A410"/>
    <w:rsid w:val="254741CD"/>
    <w:rsid w:val="254E2FD0"/>
    <w:rsid w:val="255A5079"/>
    <w:rsid w:val="257EE47F"/>
    <w:rsid w:val="25868A87"/>
    <w:rsid w:val="259704D3"/>
    <w:rsid w:val="2597EB3D"/>
    <w:rsid w:val="25B14997"/>
    <w:rsid w:val="25B57CA1"/>
    <w:rsid w:val="25C32B3C"/>
    <w:rsid w:val="25C42399"/>
    <w:rsid w:val="25CF534F"/>
    <w:rsid w:val="25D63157"/>
    <w:rsid w:val="25DE1F6B"/>
    <w:rsid w:val="25E0A92C"/>
    <w:rsid w:val="25E2993C"/>
    <w:rsid w:val="25E824A9"/>
    <w:rsid w:val="261E737D"/>
    <w:rsid w:val="264F3085"/>
    <w:rsid w:val="2659BB7D"/>
    <w:rsid w:val="265D87D6"/>
    <w:rsid w:val="26923FBE"/>
    <w:rsid w:val="26DFED1E"/>
    <w:rsid w:val="26F65F06"/>
    <w:rsid w:val="26F72F19"/>
    <w:rsid w:val="26F84F58"/>
    <w:rsid w:val="272D8788"/>
    <w:rsid w:val="272E724E"/>
    <w:rsid w:val="27438907"/>
    <w:rsid w:val="2747AC85"/>
    <w:rsid w:val="27493A77"/>
    <w:rsid w:val="274A4430"/>
    <w:rsid w:val="27677A74"/>
    <w:rsid w:val="277CE7E7"/>
    <w:rsid w:val="2782F6A0"/>
    <w:rsid w:val="279751BD"/>
    <w:rsid w:val="279790ED"/>
    <w:rsid w:val="27A9A16B"/>
    <w:rsid w:val="27ADB2C0"/>
    <w:rsid w:val="27B22A79"/>
    <w:rsid w:val="27C6AB0B"/>
    <w:rsid w:val="27D28D38"/>
    <w:rsid w:val="27DEC386"/>
    <w:rsid w:val="27F08F3B"/>
    <w:rsid w:val="27F3E885"/>
    <w:rsid w:val="2803A2DE"/>
    <w:rsid w:val="281200E4"/>
    <w:rsid w:val="282B063C"/>
    <w:rsid w:val="282D6B44"/>
    <w:rsid w:val="283EBE73"/>
    <w:rsid w:val="284EE02D"/>
    <w:rsid w:val="2867919A"/>
    <w:rsid w:val="286CFE48"/>
    <w:rsid w:val="28745C25"/>
    <w:rsid w:val="28B26E2B"/>
    <w:rsid w:val="28C5316C"/>
    <w:rsid w:val="28CD4631"/>
    <w:rsid w:val="28D19F27"/>
    <w:rsid w:val="28F223C6"/>
    <w:rsid w:val="28F350B3"/>
    <w:rsid w:val="28F3DD20"/>
    <w:rsid w:val="28F6C214"/>
    <w:rsid w:val="290E274F"/>
    <w:rsid w:val="290E4033"/>
    <w:rsid w:val="2918428E"/>
    <w:rsid w:val="292DEED6"/>
    <w:rsid w:val="292FAB63"/>
    <w:rsid w:val="2945EA52"/>
    <w:rsid w:val="295E414C"/>
    <w:rsid w:val="2967BCCB"/>
    <w:rsid w:val="296D17A9"/>
    <w:rsid w:val="298A73B7"/>
    <w:rsid w:val="298FF074"/>
    <w:rsid w:val="29A6B29F"/>
    <w:rsid w:val="29A7F06E"/>
    <w:rsid w:val="29B30F19"/>
    <w:rsid w:val="29B3A33F"/>
    <w:rsid w:val="29D804F2"/>
    <w:rsid w:val="29DC698A"/>
    <w:rsid w:val="29DE156E"/>
    <w:rsid w:val="29E8EF96"/>
    <w:rsid w:val="29EC22EA"/>
    <w:rsid w:val="29EE02DB"/>
    <w:rsid w:val="29F412FB"/>
    <w:rsid w:val="2A06B5DE"/>
    <w:rsid w:val="2A17B960"/>
    <w:rsid w:val="2A1C3CA0"/>
    <w:rsid w:val="2A1F513C"/>
    <w:rsid w:val="2A24B903"/>
    <w:rsid w:val="2A3021C2"/>
    <w:rsid w:val="2A412179"/>
    <w:rsid w:val="2A447709"/>
    <w:rsid w:val="2A4E1C80"/>
    <w:rsid w:val="2A59D5A8"/>
    <w:rsid w:val="2A6E9799"/>
    <w:rsid w:val="2A6EE71D"/>
    <w:rsid w:val="2A6FAF0B"/>
    <w:rsid w:val="2A93080B"/>
    <w:rsid w:val="2AB6C124"/>
    <w:rsid w:val="2AD2B37F"/>
    <w:rsid w:val="2ADD1653"/>
    <w:rsid w:val="2AE1D085"/>
    <w:rsid w:val="2AE43AEC"/>
    <w:rsid w:val="2AF4B49C"/>
    <w:rsid w:val="2AFA761E"/>
    <w:rsid w:val="2AFD6993"/>
    <w:rsid w:val="2B001099"/>
    <w:rsid w:val="2B04C6EB"/>
    <w:rsid w:val="2B052B8D"/>
    <w:rsid w:val="2B145E3C"/>
    <w:rsid w:val="2B1B6706"/>
    <w:rsid w:val="2B42F09B"/>
    <w:rsid w:val="2B5A3A0C"/>
    <w:rsid w:val="2B709137"/>
    <w:rsid w:val="2B7B16AC"/>
    <w:rsid w:val="2B7E7EBE"/>
    <w:rsid w:val="2B8B91E4"/>
    <w:rsid w:val="2B9E8119"/>
    <w:rsid w:val="2BA38C48"/>
    <w:rsid w:val="2BA8B699"/>
    <w:rsid w:val="2BA8D58C"/>
    <w:rsid w:val="2BB51F85"/>
    <w:rsid w:val="2BC9C5FD"/>
    <w:rsid w:val="2BCC6219"/>
    <w:rsid w:val="2C069475"/>
    <w:rsid w:val="2C090519"/>
    <w:rsid w:val="2C12389F"/>
    <w:rsid w:val="2C13A775"/>
    <w:rsid w:val="2C22B2B7"/>
    <w:rsid w:val="2C26C222"/>
    <w:rsid w:val="2C39EF25"/>
    <w:rsid w:val="2C3BDC4F"/>
    <w:rsid w:val="2C47E6DC"/>
    <w:rsid w:val="2C50A3CA"/>
    <w:rsid w:val="2C59BEC5"/>
    <w:rsid w:val="2C7EE20E"/>
    <w:rsid w:val="2C8254D7"/>
    <w:rsid w:val="2CB58F20"/>
    <w:rsid w:val="2CCE27F6"/>
    <w:rsid w:val="2CE76752"/>
    <w:rsid w:val="2CEE8E01"/>
    <w:rsid w:val="2CF939BF"/>
    <w:rsid w:val="2CFBB5A2"/>
    <w:rsid w:val="2D0CB2B3"/>
    <w:rsid w:val="2D0D99F6"/>
    <w:rsid w:val="2D260C4C"/>
    <w:rsid w:val="2D26B21D"/>
    <w:rsid w:val="2D285B14"/>
    <w:rsid w:val="2D423BC2"/>
    <w:rsid w:val="2D48459D"/>
    <w:rsid w:val="2D4C9A50"/>
    <w:rsid w:val="2D7810E5"/>
    <w:rsid w:val="2D78476B"/>
    <w:rsid w:val="2D7B578B"/>
    <w:rsid w:val="2D7EA16A"/>
    <w:rsid w:val="2D96ECBC"/>
    <w:rsid w:val="2D9C832D"/>
    <w:rsid w:val="2DB266AB"/>
    <w:rsid w:val="2DD5FBC1"/>
    <w:rsid w:val="2DDE9E04"/>
    <w:rsid w:val="2DE8773A"/>
    <w:rsid w:val="2DF3A22A"/>
    <w:rsid w:val="2DF56D82"/>
    <w:rsid w:val="2E0FAFCE"/>
    <w:rsid w:val="2E2BAF7A"/>
    <w:rsid w:val="2E2C2ECF"/>
    <w:rsid w:val="2E5479BB"/>
    <w:rsid w:val="2E70071B"/>
    <w:rsid w:val="2E8CD6E4"/>
    <w:rsid w:val="2E958C9C"/>
    <w:rsid w:val="2EA4C84D"/>
    <w:rsid w:val="2EBB20A3"/>
    <w:rsid w:val="2EBE4A1D"/>
    <w:rsid w:val="2EC4A0DC"/>
    <w:rsid w:val="2ECF7FE8"/>
    <w:rsid w:val="2EDA900B"/>
    <w:rsid w:val="2EDBE91C"/>
    <w:rsid w:val="2EE8148B"/>
    <w:rsid w:val="2EF69ACB"/>
    <w:rsid w:val="2F1B226E"/>
    <w:rsid w:val="2F1C90B0"/>
    <w:rsid w:val="2F411ECA"/>
    <w:rsid w:val="2F5E8124"/>
    <w:rsid w:val="2F71DE5A"/>
    <w:rsid w:val="2F737D60"/>
    <w:rsid w:val="2F739C98"/>
    <w:rsid w:val="2F808A32"/>
    <w:rsid w:val="2F85236E"/>
    <w:rsid w:val="2F8C36F4"/>
    <w:rsid w:val="2FA58CC2"/>
    <w:rsid w:val="2FA5E2CD"/>
    <w:rsid w:val="2FDEE384"/>
    <w:rsid w:val="2FF43335"/>
    <w:rsid w:val="30089E35"/>
    <w:rsid w:val="301FADB3"/>
    <w:rsid w:val="3022ABB6"/>
    <w:rsid w:val="3033502F"/>
    <w:rsid w:val="30341D8E"/>
    <w:rsid w:val="30711E15"/>
    <w:rsid w:val="3098C468"/>
    <w:rsid w:val="30B89B0B"/>
    <w:rsid w:val="30C09136"/>
    <w:rsid w:val="30D66C21"/>
    <w:rsid w:val="30D845A4"/>
    <w:rsid w:val="30DCA547"/>
    <w:rsid w:val="30EABF29"/>
    <w:rsid w:val="30F4220C"/>
    <w:rsid w:val="30FA3B4E"/>
    <w:rsid w:val="311AF81E"/>
    <w:rsid w:val="311E8912"/>
    <w:rsid w:val="31228673"/>
    <w:rsid w:val="31281150"/>
    <w:rsid w:val="314262B1"/>
    <w:rsid w:val="315EB7D1"/>
    <w:rsid w:val="31668D61"/>
    <w:rsid w:val="31706FBB"/>
    <w:rsid w:val="31797979"/>
    <w:rsid w:val="318DB9D7"/>
    <w:rsid w:val="3190B524"/>
    <w:rsid w:val="319DD50D"/>
    <w:rsid w:val="319EE8E3"/>
    <w:rsid w:val="31AD2F77"/>
    <w:rsid w:val="31B85D22"/>
    <w:rsid w:val="31B87A01"/>
    <w:rsid w:val="31D02917"/>
    <w:rsid w:val="31E95F8B"/>
    <w:rsid w:val="31EA748A"/>
    <w:rsid w:val="31EE1535"/>
    <w:rsid w:val="31EFAC7F"/>
    <w:rsid w:val="3204BE38"/>
    <w:rsid w:val="3208A2A9"/>
    <w:rsid w:val="3216404C"/>
    <w:rsid w:val="323CA602"/>
    <w:rsid w:val="32476206"/>
    <w:rsid w:val="324D0A7A"/>
    <w:rsid w:val="3258DD71"/>
    <w:rsid w:val="32691D2D"/>
    <w:rsid w:val="32836572"/>
    <w:rsid w:val="3295AAD6"/>
    <w:rsid w:val="32975519"/>
    <w:rsid w:val="3298D4A7"/>
    <w:rsid w:val="32B1C8BD"/>
    <w:rsid w:val="32C42755"/>
    <w:rsid w:val="32C63D74"/>
    <w:rsid w:val="32DB18EC"/>
    <w:rsid w:val="32DDE0A2"/>
    <w:rsid w:val="32E49438"/>
    <w:rsid w:val="32E85683"/>
    <w:rsid w:val="32F1536F"/>
    <w:rsid w:val="32F44A35"/>
    <w:rsid w:val="32FA63E9"/>
    <w:rsid w:val="331886D9"/>
    <w:rsid w:val="3319B683"/>
    <w:rsid w:val="33241C6A"/>
    <w:rsid w:val="332BC21F"/>
    <w:rsid w:val="3331FC22"/>
    <w:rsid w:val="3349E25F"/>
    <w:rsid w:val="334EE6E0"/>
    <w:rsid w:val="335128DC"/>
    <w:rsid w:val="33655575"/>
    <w:rsid w:val="337644CD"/>
    <w:rsid w:val="337DE5A5"/>
    <w:rsid w:val="338110CC"/>
    <w:rsid w:val="338FCE6D"/>
    <w:rsid w:val="33C55543"/>
    <w:rsid w:val="33D10D42"/>
    <w:rsid w:val="33DE0D28"/>
    <w:rsid w:val="3400E2B8"/>
    <w:rsid w:val="3405FC86"/>
    <w:rsid w:val="3413FC62"/>
    <w:rsid w:val="3416E76E"/>
    <w:rsid w:val="3422BB12"/>
    <w:rsid w:val="3442FB5E"/>
    <w:rsid w:val="3455A3DE"/>
    <w:rsid w:val="345BA0BB"/>
    <w:rsid w:val="346F08E4"/>
    <w:rsid w:val="3471EE25"/>
    <w:rsid w:val="348C88DA"/>
    <w:rsid w:val="34973665"/>
    <w:rsid w:val="349EA466"/>
    <w:rsid w:val="34A81DD2"/>
    <w:rsid w:val="34B2AB87"/>
    <w:rsid w:val="34C31B25"/>
    <w:rsid w:val="34C4F5EC"/>
    <w:rsid w:val="34ED9EF3"/>
    <w:rsid w:val="34FBE7CC"/>
    <w:rsid w:val="350016D9"/>
    <w:rsid w:val="3500174F"/>
    <w:rsid w:val="3504847F"/>
    <w:rsid w:val="350D42B1"/>
    <w:rsid w:val="3512355B"/>
    <w:rsid w:val="351279D4"/>
    <w:rsid w:val="351A5E43"/>
    <w:rsid w:val="352FC02C"/>
    <w:rsid w:val="353D2B8C"/>
    <w:rsid w:val="35448899"/>
    <w:rsid w:val="3569BA23"/>
    <w:rsid w:val="3585D4DA"/>
    <w:rsid w:val="35B01D75"/>
    <w:rsid w:val="35B94B20"/>
    <w:rsid w:val="35BA2ABE"/>
    <w:rsid w:val="35C9FBEC"/>
    <w:rsid w:val="35D242AC"/>
    <w:rsid w:val="35D39A11"/>
    <w:rsid w:val="35D55BD6"/>
    <w:rsid w:val="35EA4084"/>
    <w:rsid w:val="35FCA7AD"/>
    <w:rsid w:val="36178EAB"/>
    <w:rsid w:val="3623AE3F"/>
    <w:rsid w:val="3639A858"/>
    <w:rsid w:val="363E02C3"/>
    <w:rsid w:val="36572D78"/>
    <w:rsid w:val="366F3116"/>
    <w:rsid w:val="367C8D87"/>
    <w:rsid w:val="367D44B4"/>
    <w:rsid w:val="3692412B"/>
    <w:rsid w:val="369AD380"/>
    <w:rsid w:val="369CEF9F"/>
    <w:rsid w:val="369D9F66"/>
    <w:rsid w:val="369DC506"/>
    <w:rsid w:val="369FEDAD"/>
    <w:rsid w:val="36CD46E4"/>
    <w:rsid w:val="36CEDA98"/>
    <w:rsid w:val="36D40EE3"/>
    <w:rsid w:val="36DB8A46"/>
    <w:rsid w:val="36DF8AEE"/>
    <w:rsid w:val="36E44CC7"/>
    <w:rsid w:val="370E284B"/>
    <w:rsid w:val="371A1270"/>
    <w:rsid w:val="3724DFFC"/>
    <w:rsid w:val="37391666"/>
    <w:rsid w:val="373B52A6"/>
    <w:rsid w:val="3748CAC0"/>
    <w:rsid w:val="374B9C37"/>
    <w:rsid w:val="3754CA0E"/>
    <w:rsid w:val="379535D9"/>
    <w:rsid w:val="379A2F39"/>
    <w:rsid w:val="37A937B9"/>
    <w:rsid w:val="37B9A86F"/>
    <w:rsid w:val="37BCCDC8"/>
    <w:rsid w:val="37C8E29F"/>
    <w:rsid w:val="37D798D4"/>
    <w:rsid w:val="37F15C61"/>
    <w:rsid w:val="37F96834"/>
    <w:rsid w:val="37FEFBE7"/>
    <w:rsid w:val="37FF11F2"/>
    <w:rsid w:val="380090C4"/>
    <w:rsid w:val="38090D88"/>
    <w:rsid w:val="381F6C09"/>
    <w:rsid w:val="382948FF"/>
    <w:rsid w:val="3843FDFB"/>
    <w:rsid w:val="386A400F"/>
    <w:rsid w:val="38764E23"/>
    <w:rsid w:val="38769B0A"/>
    <w:rsid w:val="389B1EE5"/>
    <w:rsid w:val="38A1E73F"/>
    <w:rsid w:val="38CB3683"/>
    <w:rsid w:val="38D90F37"/>
    <w:rsid w:val="38DAA5EE"/>
    <w:rsid w:val="38DC6699"/>
    <w:rsid w:val="38EE736A"/>
    <w:rsid w:val="391649E6"/>
    <w:rsid w:val="392DF203"/>
    <w:rsid w:val="3949A57F"/>
    <w:rsid w:val="394CC81A"/>
    <w:rsid w:val="3960DE1C"/>
    <w:rsid w:val="3966C49E"/>
    <w:rsid w:val="398B830C"/>
    <w:rsid w:val="39957607"/>
    <w:rsid w:val="39BE523A"/>
    <w:rsid w:val="39CF52B9"/>
    <w:rsid w:val="39E22BB2"/>
    <w:rsid w:val="39E6596F"/>
    <w:rsid w:val="39F65FD4"/>
    <w:rsid w:val="3A023595"/>
    <w:rsid w:val="3A1A9178"/>
    <w:rsid w:val="3A22486F"/>
    <w:rsid w:val="3A301023"/>
    <w:rsid w:val="3A3414AB"/>
    <w:rsid w:val="3A3A51B8"/>
    <w:rsid w:val="3A4298BA"/>
    <w:rsid w:val="3A55BD3E"/>
    <w:rsid w:val="3A7D6BB1"/>
    <w:rsid w:val="3A9903A3"/>
    <w:rsid w:val="3AB66E39"/>
    <w:rsid w:val="3ABB4DED"/>
    <w:rsid w:val="3AC79C5A"/>
    <w:rsid w:val="3ACE7C42"/>
    <w:rsid w:val="3AD314EC"/>
    <w:rsid w:val="3B0E3BCC"/>
    <w:rsid w:val="3B14224F"/>
    <w:rsid w:val="3B178A49"/>
    <w:rsid w:val="3B1F7992"/>
    <w:rsid w:val="3B2855E3"/>
    <w:rsid w:val="3B347852"/>
    <w:rsid w:val="3B43C921"/>
    <w:rsid w:val="3B50484D"/>
    <w:rsid w:val="3B56D57B"/>
    <w:rsid w:val="3B6EDA8F"/>
    <w:rsid w:val="3B82586A"/>
    <w:rsid w:val="3B84AFA0"/>
    <w:rsid w:val="3B946F1F"/>
    <w:rsid w:val="3BC653BB"/>
    <w:rsid w:val="3BCED115"/>
    <w:rsid w:val="3BDCB085"/>
    <w:rsid w:val="3BF5DB4D"/>
    <w:rsid w:val="3C10A226"/>
    <w:rsid w:val="3C13100C"/>
    <w:rsid w:val="3C3BB87B"/>
    <w:rsid w:val="3C5F01EF"/>
    <w:rsid w:val="3C62F19D"/>
    <w:rsid w:val="3C7EF5A7"/>
    <w:rsid w:val="3C8479CF"/>
    <w:rsid w:val="3C927F79"/>
    <w:rsid w:val="3C968BE2"/>
    <w:rsid w:val="3CA71535"/>
    <w:rsid w:val="3CB63358"/>
    <w:rsid w:val="3CB85E2B"/>
    <w:rsid w:val="3CCD3811"/>
    <w:rsid w:val="3CD8EEE6"/>
    <w:rsid w:val="3CE4AAB4"/>
    <w:rsid w:val="3CE710EA"/>
    <w:rsid w:val="3CFFB73B"/>
    <w:rsid w:val="3D16CCF8"/>
    <w:rsid w:val="3D1A3FAD"/>
    <w:rsid w:val="3D301E12"/>
    <w:rsid w:val="3D34AF3E"/>
    <w:rsid w:val="3D46F26B"/>
    <w:rsid w:val="3D4D6FCF"/>
    <w:rsid w:val="3D8E6BCA"/>
    <w:rsid w:val="3D98A7C5"/>
    <w:rsid w:val="3DCE0195"/>
    <w:rsid w:val="3DDAD152"/>
    <w:rsid w:val="3DDF9513"/>
    <w:rsid w:val="3E08E0C1"/>
    <w:rsid w:val="3E1A2129"/>
    <w:rsid w:val="3E200792"/>
    <w:rsid w:val="3E2254DE"/>
    <w:rsid w:val="3E28DA95"/>
    <w:rsid w:val="3E404A87"/>
    <w:rsid w:val="3E4C1670"/>
    <w:rsid w:val="3E536477"/>
    <w:rsid w:val="3E5ABA85"/>
    <w:rsid w:val="3E8526ED"/>
    <w:rsid w:val="3EA263A3"/>
    <w:rsid w:val="3EA9913C"/>
    <w:rsid w:val="3EAE0A46"/>
    <w:rsid w:val="3EB429DF"/>
    <w:rsid w:val="3ECD0CA7"/>
    <w:rsid w:val="3ED9E036"/>
    <w:rsid w:val="3EEA73A6"/>
    <w:rsid w:val="3EF6CCA8"/>
    <w:rsid w:val="3EFCC8FB"/>
    <w:rsid w:val="3EFCF166"/>
    <w:rsid w:val="3F09664B"/>
    <w:rsid w:val="3F17DDA2"/>
    <w:rsid w:val="3F196CF3"/>
    <w:rsid w:val="3F251A08"/>
    <w:rsid w:val="3F279688"/>
    <w:rsid w:val="3F3313D9"/>
    <w:rsid w:val="3F357603"/>
    <w:rsid w:val="3F397BF1"/>
    <w:rsid w:val="3F600CBD"/>
    <w:rsid w:val="3F6C691C"/>
    <w:rsid w:val="3F6D8EDC"/>
    <w:rsid w:val="3F7EDD58"/>
    <w:rsid w:val="3FB0FEE3"/>
    <w:rsid w:val="3FB6D43E"/>
    <w:rsid w:val="3FCDCEEF"/>
    <w:rsid w:val="3FEF9C2B"/>
    <w:rsid w:val="3FFA906C"/>
    <w:rsid w:val="400D83BF"/>
    <w:rsid w:val="402B0868"/>
    <w:rsid w:val="403513AC"/>
    <w:rsid w:val="403979A2"/>
    <w:rsid w:val="403F8C1C"/>
    <w:rsid w:val="405C92E4"/>
    <w:rsid w:val="40644BBF"/>
    <w:rsid w:val="406E2B7D"/>
    <w:rsid w:val="408C85A7"/>
    <w:rsid w:val="409A8645"/>
    <w:rsid w:val="40A0045F"/>
    <w:rsid w:val="40A9AABC"/>
    <w:rsid w:val="40B291AF"/>
    <w:rsid w:val="40CE68AC"/>
    <w:rsid w:val="40D10A21"/>
    <w:rsid w:val="40DB66F8"/>
    <w:rsid w:val="40DB9CC2"/>
    <w:rsid w:val="40DC441B"/>
    <w:rsid w:val="40F15AE4"/>
    <w:rsid w:val="40F74A9A"/>
    <w:rsid w:val="41090BEC"/>
    <w:rsid w:val="41241410"/>
    <w:rsid w:val="4133032D"/>
    <w:rsid w:val="41416E2F"/>
    <w:rsid w:val="41441A81"/>
    <w:rsid w:val="41484FEF"/>
    <w:rsid w:val="415D0901"/>
    <w:rsid w:val="4175CC50"/>
    <w:rsid w:val="41868DCA"/>
    <w:rsid w:val="4188DD82"/>
    <w:rsid w:val="41A7CA01"/>
    <w:rsid w:val="41B5E6D7"/>
    <w:rsid w:val="41C94079"/>
    <w:rsid w:val="41CA2862"/>
    <w:rsid w:val="41D06A45"/>
    <w:rsid w:val="41D6A8DA"/>
    <w:rsid w:val="41D7BAEE"/>
    <w:rsid w:val="41FAF025"/>
    <w:rsid w:val="42177C79"/>
    <w:rsid w:val="42389DA7"/>
    <w:rsid w:val="423A0076"/>
    <w:rsid w:val="423D2502"/>
    <w:rsid w:val="4241CF7D"/>
    <w:rsid w:val="4261C9AD"/>
    <w:rsid w:val="426C4649"/>
    <w:rsid w:val="427F646E"/>
    <w:rsid w:val="428D9971"/>
    <w:rsid w:val="428E50CD"/>
    <w:rsid w:val="42A267DE"/>
    <w:rsid w:val="42A5AFF6"/>
    <w:rsid w:val="42B89F33"/>
    <w:rsid w:val="42C9CEE7"/>
    <w:rsid w:val="4300FFC1"/>
    <w:rsid w:val="430FAF02"/>
    <w:rsid w:val="43130E9E"/>
    <w:rsid w:val="432D63B6"/>
    <w:rsid w:val="4332F0EF"/>
    <w:rsid w:val="43452815"/>
    <w:rsid w:val="4348DE24"/>
    <w:rsid w:val="434DF573"/>
    <w:rsid w:val="436FEA5E"/>
    <w:rsid w:val="437A76E4"/>
    <w:rsid w:val="437F2EC8"/>
    <w:rsid w:val="43809E6F"/>
    <w:rsid w:val="43A96C90"/>
    <w:rsid w:val="43C2F148"/>
    <w:rsid w:val="43EBCA2E"/>
    <w:rsid w:val="43F48039"/>
    <w:rsid w:val="43F82DE0"/>
    <w:rsid w:val="4401ADAD"/>
    <w:rsid w:val="440A1F43"/>
    <w:rsid w:val="440F7DF3"/>
    <w:rsid w:val="44404758"/>
    <w:rsid w:val="44421C5E"/>
    <w:rsid w:val="44564327"/>
    <w:rsid w:val="44584685"/>
    <w:rsid w:val="44628C90"/>
    <w:rsid w:val="44873136"/>
    <w:rsid w:val="448846D1"/>
    <w:rsid w:val="4495619A"/>
    <w:rsid w:val="4497E680"/>
    <w:rsid w:val="44ADC8DF"/>
    <w:rsid w:val="44AEEE19"/>
    <w:rsid w:val="44B42FDE"/>
    <w:rsid w:val="44B465B8"/>
    <w:rsid w:val="44C654E2"/>
    <w:rsid w:val="44E9E761"/>
    <w:rsid w:val="45019B12"/>
    <w:rsid w:val="452B40D8"/>
    <w:rsid w:val="452FD2DB"/>
    <w:rsid w:val="453CD6BD"/>
    <w:rsid w:val="45504768"/>
    <w:rsid w:val="455BA7BB"/>
    <w:rsid w:val="455FE24D"/>
    <w:rsid w:val="459C32A6"/>
    <w:rsid w:val="45D7C06E"/>
    <w:rsid w:val="45EFF9B9"/>
    <w:rsid w:val="4642FEEA"/>
    <w:rsid w:val="469FAEE3"/>
    <w:rsid w:val="46A71D0C"/>
    <w:rsid w:val="46C19936"/>
    <w:rsid w:val="46C6D17B"/>
    <w:rsid w:val="46F8CF32"/>
    <w:rsid w:val="4702A565"/>
    <w:rsid w:val="472917AF"/>
    <w:rsid w:val="47382009"/>
    <w:rsid w:val="4753D531"/>
    <w:rsid w:val="475A9F3B"/>
    <w:rsid w:val="475BF65F"/>
    <w:rsid w:val="476352DA"/>
    <w:rsid w:val="478B5658"/>
    <w:rsid w:val="479B857A"/>
    <w:rsid w:val="479E524C"/>
    <w:rsid w:val="47A76381"/>
    <w:rsid w:val="47B3DB71"/>
    <w:rsid w:val="47B8B034"/>
    <w:rsid w:val="47C47D5D"/>
    <w:rsid w:val="47D00A28"/>
    <w:rsid w:val="47DB4F45"/>
    <w:rsid w:val="47F21FE0"/>
    <w:rsid w:val="480A615E"/>
    <w:rsid w:val="4822F8E5"/>
    <w:rsid w:val="48340846"/>
    <w:rsid w:val="4837266E"/>
    <w:rsid w:val="48411AD2"/>
    <w:rsid w:val="4860C887"/>
    <w:rsid w:val="48688E81"/>
    <w:rsid w:val="486FBF29"/>
    <w:rsid w:val="486FEB5F"/>
    <w:rsid w:val="4870F6FD"/>
    <w:rsid w:val="4879EBF5"/>
    <w:rsid w:val="487F0566"/>
    <w:rsid w:val="4886E901"/>
    <w:rsid w:val="4888190A"/>
    <w:rsid w:val="48892E42"/>
    <w:rsid w:val="488988C5"/>
    <w:rsid w:val="488FC245"/>
    <w:rsid w:val="488FF3D2"/>
    <w:rsid w:val="48B6A29D"/>
    <w:rsid w:val="48B8A9DF"/>
    <w:rsid w:val="48BC5E53"/>
    <w:rsid w:val="48C314F0"/>
    <w:rsid w:val="48C6D90D"/>
    <w:rsid w:val="48C95CFC"/>
    <w:rsid w:val="48E2A01B"/>
    <w:rsid w:val="48EC7FBE"/>
    <w:rsid w:val="48ED155B"/>
    <w:rsid w:val="48F90660"/>
    <w:rsid w:val="4905F98D"/>
    <w:rsid w:val="49219C4D"/>
    <w:rsid w:val="4926FD17"/>
    <w:rsid w:val="492F35BB"/>
    <w:rsid w:val="4938A704"/>
    <w:rsid w:val="496B8B85"/>
    <w:rsid w:val="496D1230"/>
    <w:rsid w:val="497459C1"/>
    <w:rsid w:val="4976BF50"/>
    <w:rsid w:val="4976DE2E"/>
    <w:rsid w:val="498219F2"/>
    <w:rsid w:val="4983BC98"/>
    <w:rsid w:val="49873941"/>
    <w:rsid w:val="499CC008"/>
    <w:rsid w:val="49A7FC17"/>
    <w:rsid w:val="49A8CCA7"/>
    <w:rsid w:val="49AE6B79"/>
    <w:rsid w:val="49C15462"/>
    <w:rsid w:val="49CAE23B"/>
    <w:rsid w:val="49DAB1E9"/>
    <w:rsid w:val="49DBF599"/>
    <w:rsid w:val="49E148F2"/>
    <w:rsid w:val="4A0CBAC8"/>
    <w:rsid w:val="4A33A428"/>
    <w:rsid w:val="4A5802F2"/>
    <w:rsid w:val="4A5ABA7A"/>
    <w:rsid w:val="4A6045A6"/>
    <w:rsid w:val="4A62C3F1"/>
    <w:rsid w:val="4A68630D"/>
    <w:rsid w:val="4A862D22"/>
    <w:rsid w:val="4A86677F"/>
    <w:rsid w:val="4AAAEEF7"/>
    <w:rsid w:val="4ABAEFD6"/>
    <w:rsid w:val="4AC45B70"/>
    <w:rsid w:val="4AD0B252"/>
    <w:rsid w:val="4AD0C00A"/>
    <w:rsid w:val="4AF21AD4"/>
    <w:rsid w:val="4AF4E797"/>
    <w:rsid w:val="4B308824"/>
    <w:rsid w:val="4B40370D"/>
    <w:rsid w:val="4B42A8A6"/>
    <w:rsid w:val="4B51DAAA"/>
    <w:rsid w:val="4B59D297"/>
    <w:rsid w:val="4B5AB51F"/>
    <w:rsid w:val="4B6C8F55"/>
    <w:rsid w:val="4B89EEE8"/>
    <w:rsid w:val="4B907D68"/>
    <w:rsid w:val="4B9703A5"/>
    <w:rsid w:val="4BAC8018"/>
    <w:rsid w:val="4BB3573E"/>
    <w:rsid w:val="4BD3B9B4"/>
    <w:rsid w:val="4BDF999C"/>
    <w:rsid w:val="4BFB0E29"/>
    <w:rsid w:val="4BFCA1BF"/>
    <w:rsid w:val="4C10ABCF"/>
    <w:rsid w:val="4C2EF804"/>
    <w:rsid w:val="4C2F083E"/>
    <w:rsid w:val="4C403FF6"/>
    <w:rsid w:val="4C43B6A9"/>
    <w:rsid w:val="4C502847"/>
    <w:rsid w:val="4C54FBEA"/>
    <w:rsid w:val="4C569EDF"/>
    <w:rsid w:val="4C6D9715"/>
    <w:rsid w:val="4C927CEF"/>
    <w:rsid w:val="4CA84465"/>
    <w:rsid w:val="4CBC8AB7"/>
    <w:rsid w:val="4CBD928A"/>
    <w:rsid w:val="4CC005BD"/>
    <w:rsid w:val="4CC7C52C"/>
    <w:rsid w:val="4CCC42B3"/>
    <w:rsid w:val="4CDAC1A2"/>
    <w:rsid w:val="4CE08EB3"/>
    <w:rsid w:val="4CE1C89E"/>
    <w:rsid w:val="4CE98F9A"/>
    <w:rsid w:val="4CF55C31"/>
    <w:rsid w:val="4D09E5AA"/>
    <w:rsid w:val="4D22E918"/>
    <w:rsid w:val="4D30996A"/>
    <w:rsid w:val="4D425937"/>
    <w:rsid w:val="4D6BD69C"/>
    <w:rsid w:val="4D796FF7"/>
    <w:rsid w:val="4D87D513"/>
    <w:rsid w:val="4D89CC70"/>
    <w:rsid w:val="4D8F2994"/>
    <w:rsid w:val="4D95E3B6"/>
    <w:rsid w:val="4DBA55BD"/>
    <w:rsid w:val="4DBFF6DF"/>
    <w:rsid w:val="4DC2CCE3"/>
    <w:rsid w:val="4DC64162"/>
    <w:rsid w:val="4DCEFEE7"/>
    <w:rsid w:val="4DCF16DC"/>
    <w:rsid w:val="4DD2B33B"/>
    <w:rsid w:val="4DEA0924"/>
    <w:rsid w:val="4DF5CA4A"/>
    <w:rsid w:val="4DFC4AE9"/>
    <w:rsid w:val="4E07E2EC"/>
    <w:rsid w:val="4E174055"/>
    <w:rsid w:val="4E28CC68"/>
    <w:rsid w:val="4E322412"/>
    <w:rsid w:val="4E3E01A7"/>
    <w:rsid w:val="4E3F47D1"/>
    <w:rsid w:val="4E44CB8D"/>
    <w:rsid w:val="4E48B3CF"/>
    <w:rsid w:val="4E5577B0"/>
    <w:rsid w:val="4E66EB48"/>
    <w:rsid w:val="4E886FDF"/>
    <w:rsid w:val="4E95AA8C"/>
    <w:rsid w:val="4EA118BA"/>
    <w:rsid w:val="4EA4FF28"/>
    <w:rsid w:val="4EBB9E6D"/>
    <w:rsid w:val="4ECB2E35"/>
    <w:rsid w:val="4ECB911C"/>
    <w:rsid w:val="4EF05A11"/>
    <w:rsid w:val="4EF9A160"/>
    <w:rsid w:val="4EFF0CA4"/>
    <w:rsid w:val="4F4F17B4"/>
    <w:rsid w:val="4F50421C"/>
    <w:rsid w:val="4F546677"/>
    <w:rsid w:val="4F646787"/>
    <w:rsid w:val="4F6DA204"/>
    <w:rsid w:val="4F870B4B"/>
    <w:rsid w:val="4F8B81A9"/>
    <w:rsid w:val="4F90C5F2"/>
    <w:rsid w:val="4F95B9B2"/>
    <w:rsid w:val="4F993931"/>
    <w:rsid w:val="4FA65E8A"/>
    <w:rsid w:val="4FBF8033"/>
    <w:rsid w:val="4FD1D2E9"/>
    <w:rsid w:val="4FD5D69A"/>
    <w:rsid w:val="4FFEB1E7"/>
    <w:rsid w:val="50208CAE"/>
    <w:rsid w:val="5029F2BD"/>
    <w:rsid w:val="50309304"/>
    <w:rsid w:val="50426024"/>
    <w:rsid w:val="50449575"/>
    <w:rsid w:val="505523F5"/>
    <w:rsid w:val="5062804B"/>
    <w:rsid w:val="507A70FB"/>
    <w:rsid w:val="50C7042A"/>
    <w:rsid w:val="50D16E2A"/>
    <w:rsid w:val="50FA4650"/>
    <w:rsid w:val="50FBE11B"/>
    <w:rsid w:val="510042C4"/>
    <w:rsid w:val="5106B6EF"/>
    <w:rsid w:val="51120669"/>
    <w:rsid w:val="51152600"/>
    <w:rsid w:val="5127F41E"/>
    <w:rsid w:val="512D70A0"/>
    <w:rsid w:val="5142573C"/>
    <w:rsid w:val="5149C41E"/>
    <w:rsid w:val="514FBDFC"/>
    <w:rsid w:val="516E9A5F"/>
    <w:rsid w:val="5178278B"/>
    <w:rsid w:val="51787CE4"/>
    <w:rsid w:val="51BD149B"/>
    <w:rsid w:val="51DD0F7B"/>
    <w:rsid w:val="51EA58CE"/>
    <w:rsid w:val="51EBFFC3"/>
    <w:rsid w:val="5202B185"/>
    <w:rsid w:val="520A1A07"/>
    <w:rsid w:val="52130B93"/>
    <w:rsid w:val="521BC479"/>
    <w:rsid w:val="523DE0A9"/>
    <w:rsid w:val="523FF1A3"/>
    <w:rsid w:val="52460141"/>
    <w:rsid w:val="524A473D"/>
    <w:rsid w:val="528F3097"/>
    <w:rsid w:val="529434CA"/>
    <w:rsid w:val="52982BCB"/>
    <w:rsid w:val="529E22AB"/>
    <w:rsid w:val="529F4FA7"/>
    <w:rsid w:val="52C9F534"/>
    <w:rsid w:val="52DB9FBE"/>
    <w:rsid w:val="52DD8D50"/>
    <w:rsid w:val="52E2FD0D"/>
    <w:rsid w:val="52EA7E02"/>
    <w:rsid w:val="53104E10"/>
    <w:rsid w:val="53212620"/>
    <w:rsid w:val="5322BBD7"/>
    <w:rsid w:val="534D11A6"/>
    <w:rsid w:val="535C1D6F"/>
    <w:rsid w:val="535C8771"/>
    <w:rsid w:val="536DA2BC"/>
    <w:rsid w:val="53701CBD"/>
    <w:rsid w:val="5377B985"/>
    <w:rsid w:val="537C12E2"/>
    <w:rsid w:val="537E648B"/>
    <w:rsid w:val="5382AAE4"/>
    <w:rsid w:val="5386AC3A"/>
    <w:rsid w:val="5394B600"/>
    <w:rsid w:val="539E6FE0"/>
    <w:rsid w:val="539FFDF7"/>
    <w:rsid w:val="53ABD6F2"/>
    <w:rsid w:val="53B4262B"/>
    <w:rsid w:val="53E388E1"/>
    <w:rsid w:val="53EC5A84"/>
    <w:rsid w:val="53ED2C53"/>
    <w:rsid w:val="5428EB90"/>
    <w:rsid w:val="54438B73"/>
    <w:rsid w:val="54482C70"/>
    <w:rsid w:val="544DFA6A"/>
    <w:rsid w:val="546912E4"/>
    <w:rsid w:val="5472DBA7"/>
    <w:rsid w:val="547C2E69"/>
    <w:rsid w:val="54A24AB4"/>
    <w:rsid w:val="54AB494B"/>
    <w:rsid w:val="54AC70A4"/>
    <w:rsid w:val="54C1B79F"/>
    <w:rsid w:val="54C315F8"/>
    <w:rsid w:val="54C52AFF"/>
    <w:rsid w:val="54D4A8A2"/>
    <w:rsid w:val="54F96AA3"/>
    <w:rsid w:val="54FCADFC"/>
    <w:rsid w:val="5502D050"/>
    <w:rsid w:val="55057BBC"/>
    <w:rsid w:val="5507F12E"/>
    <w:rsid w:val="55107F7E"/>
    <w:rsid w:val="55146FCE"/>
    <w:rsid w:val="5515C65D"/>
    <w:rsid w:val="551B946A"/>
    <w:rsid w:val="552F5943"/>
    <w:rsid w:val="553440B9"/>
    <w:rsid w:val="55443A05"/>
    <w:rsid w:val="5545FD45"/>
    <w:rsid w:val="5547B763"/>
    <w:rsid w:val="5561524E"/>
    <w:rsid w:val="556DEEBC"/>
    <w:rsid w:val="5571FA56"/>
    <w:rsid w:val="55814106"/>
    <w:rsid w:val="55882EE6"/>
    <w:rsid w:val="5593C93F"/>
    <w:rsid w:val="55BEBFF8"/>
    <w:rsid w:val="55CC7657"/>
    <w:rsid w:val="55D20652"/>
    <w:rsid w:val="55D944ED"/>
    <w:rsid w:val="55F555B1"/>
    <w:rsid w:val="55FF857C"/>
    <w:rsid w:val="5604437B"/>
    <w:rsid w:val="561291BF"/>
    <w:rsid w:val="562CC859"/>
    <w:rsid w:val="56355215"/>
    <w:rsid w:val="563627EC"/>
    <w:rsid w:val="5637ED37"/>
    <w:rsid w:val="5643593A"/>
    <w:rsid w:val="5654DF4B"/>
    <w:rsid w:val="565F5EC6"/>
    <w:rsid w:val="566C5074"/>
    <w:rsid w:val="5677A7E0"/>
    <w:rsid w:val="56818556"/>
    <w:rsid w:val="5683815D"/>
    <w:rsid w:val="568F35A7"/>
    <w:rsid w:val="568F5D9C"/>
    <w:rsid w:val="56A301B5"/>
    <w:rsid w:val="56AAA686"/>
    <w:rsid w:val="56AECAB2"/>
    <w:rsid w:val="56B212D9"/>
    <w:rsid w:val="56BB31DA"/>
    <w:rsid w:val="56D68369"/>
    <w:rsid w:val="56E4A5CF"/>
    <w:rsid w:val="570DE139"/>
    <w:rsid w:val="5719CAD3"/>
    <w:rsid w:val="572773ED"/>
    <w:rsid w:val="573A928F"/>
    <w:rsid w:val="57437D07"/>
    <w:rsid w:val="5754CC73"/>
    <w:rsid w:val="5772E19F"/>
    <w:rsid w:val="578D95B3"/>
    <w:rsid w:val="57931354"/>
    <w:rsid w:val="57984CC8"/>
    <w:rsid w:val="579CA5CB"/>
    <w:rsid w:val="57A202EA"/>
    <w:rsid w:val="57A941FA"/>
    <w:rsid w:val="57AF5F50"/>
    <w:rsid w:val="57C4AA7C"/>
    <w:rsid w:val="57C964FA"/>
    <w:rsid w:val="57CA519A"/>
    <w:rsid w:val="57CCE9F1"/>
    <w:rsid w:val="57DD8F54"/>
    <w:rsid w:val="57EE34BA"/>
    <w:rsid w:val="580CF0B6"/>
    <w:rsid w:val="581CBBA1"/>
    <w:rsid w:val="5827C120"/>
    <w:rsid w:val="586BD375"/>
    <w:rsid w:val="58A4A621"/>
    <w:rsid w:val="58C52EDD"/>
    <w:rsid w:val="58CE97D1"/>
    <w:rsid w:val="58DC5AC4"/>
    <w:rsid w:val="58EB5C59"/>
    <w:rsid w:val="592DEDE0"/>
    <w:rsid w:val="5934FD5E"/>
    <w:rsid w:val="59452524"/>
    <w:rsid w:val="5964ABF9"/>
    <w:rsid w:val="596C8D53"/>
    <w:rsid w:val="597DF18D"/>
    <w:rsid w:val="5982216B"/>
    <w:rsid w:val="5986CF42"/>
    <w:rsid w:val="5998B939"/>
    <w:rsid w:val="59ADF41F"/>
    <w:rsid w:val="59AEB587"/>
    <w:rsid w:val="59B91DFB"/>
    <w:rsid w:val="59D12467"/>
    <w:rsid w:val="59E02317"/>
    <w:rsid w:val="59E6948F"/>
    <w:rsid w:val="59E7B7E5"/>
    <w:rsid w:val="59EDDD8D"/>
    <w:rsid w:val="59FE6748"/>
    <w:rsid w:val="5A0D4FDA"/>
    <w:rsid w:val="5A174E23"/>
    <w:rsid w:val="5A1B72D9"/>
    <w:rsid w:val="5A2C9927"/>
    <w:rsid w:val="5A43403B"/>
    <w:rsid w:val="5A442BB3"/>
    <w:rsid w:val="5A5931D9"/>
    <w:rsid w:val="5A6A082A"/>
    <w:rsid w:val="5A72C051"/>
    <w:rsid w:val="5A7C0AFE"/>
    <w:rsid w:val="5A7F9DE4"/>
    <w:rsid w:val="5A8A48C7"/>
    <w:rsid w:val="5A987C23"/>
    <w:rsid w:val="5A9986A9"/>
    <w:rsid w:val="5AA25DF9"/>
    <w:rsid w:val="5AB0C6CE"/>
    <w:rsid w:val="5ABDD893"/>
    <w:rsid w:val="5AD65992"/>
    <w:rsid w:val="5ADE1748"/>
    <w:rsid w:val="5ADEB3CB"/>
    <w:rsid w:val="5ADF7138"/>
    <w:rsid w:val="5AF47463"/>
    <w:rsid w:val="5AF5A53F"/>
    <w:rsid w:val="5B0782A7"/>
    <w:rsid w:val="5B2F59E9"/>
    <w:rsid w:val="5B431767"/>
    <w:rsid w:val="5B43D450"/>
    <w:rsid w:val="5B5338CE"/>
    <w:rsid w:val="5B54341A"/>
    <w:rsid w:val="5B5ED9C5"/>
    <w:rsid w:val="5B7295AE"/>
    <w:rsid w:val="5B7B61AB"/>
    <w:rsid w:val="5BBD997F"/>
    <w:rsid w:val="5BC5B99E"/>
    <w:rsid w:val="5BE0A72D"/>
    <w:rsid w:val="5C317D27"/>
    <w:rsid w:val="5C322611"/>
    <w:rsid w:val="5C38B763"/>
    <w:rsid w:val="5C4DF912"/>
    <w:rsid w:val="5C70FE65"/>
    <w:rsid w:val="5C76008D"/>
    <w:rsid w:val="5CC6A02F"/>
    <w:rsid w:val="5CC6AE0E"/>
    <w:rsid w:val="5CE4F08B"/>
    <w:rsid w:val="5CF34E79"/>
    <w:rsid w:val="5CFA0115"/>
    <w:rsid w:val="5D0E51C6"/>
    <w:rsid w:val="5D145724"/>
    <w:rsid w:val="5D176A85"/>
    <w:rsid w:val="5D20E8F1"/>
    <w:rsid w:val="5D37B9B8"/>
    <w:rsid w:val="5D37D97F"/>
    <w:rsid w:val="5D45125D"/>
    <w:rsid w:val="5D4CE105"/>
    <w:rsid w:val="5D8EDC76"/>
    <w:rsid w:val="5D91D670"/>
    <w:rsid w:val="5D9CDE3D"/>
    <w:rsid w:val="5DA64ADB"/>
    <w:rsid w:val="5DA7DFBD"/>
    <w:rsid w:val="5DAB243B"/>
    <w:rsid w:val="5DC68DF5"/>
    <w:rsid w:val="5DC6A337"/>
    <w:rsid w:val="5DCE352B"/>
    <w:rsid w:val="5DCF0BFC"/>
    <w:rsid w:val="5DD2BAD0"/>
    <w:rsid w:val="5DD8FE3B"/>
    <w:rsid w:val="5DEB5AF5"/>
    <w:rsid w:val="5DFA93DB"/>
    <w:rsid w:val="5E008791"/>
    <w:rsid w:val="5E0B562F"/>
    <w:rsid w:val="5E1B62B7"/>
    <w:rsid w:val="5E24BC13"/>
    <w:rsid w:val="5E2AFD83"/>
    <w:rsid w:val="5E360619"/>
    <w:rsid w:val="5E582302"/>
    <w:rsid w:val="5E62804D"/>
    <w:rsid w:val="5E675F37"/>
    <w:rsid w:val="5E716071"/>
    <w:rsid w:val="5E8593C8"/>
    <w:rsid w:val="5EA46ABB"/>
    <w:rsid w:val="5EA49DF6"/>
    <w:rsid w:val="5EA73A31"/>
    <w:rsid w:val="5EB66606"/>
    <w:rsid w:val="5EB66620"/>
    <w:rsid w:val="5EB7DA68"/>
    <w:rsid w:val="5EC929F8"/>
    <w:rsid w:val="5ECB7BBF"/>
    <w:rsid w:val="5ED7F7DB"/>
    <w:rsid w:val="5EF44AE4"/>
    <w:rsid w:val="5F0DED68"/>
    <w:rsid w:val="5F1E35E3"/>
    <w:rsid w:val="5F1EB0C5"/>
    <w:rsid w:val="5F205F6B"/>
    <w:rsid w:val="5F264A0F"/>
    <w:rsid w:val="5F35FD2D"/>
    <w:rsid w:val="5F424606"/>
    <w:rsid w:val="5F4368DA"/>
    <w:rsid w:val="5F65671C"/>
    <w:rsid w:val="5F8F9E05"/>
    <w:rsid w:val="5F9470C0"/>
    <w:rsid w:val="5F9D9E2C"/>
    <w:rsid w:val="5FA7C445"/>
    <w:rsid w:val="5FA81EC2"/>
    <w:rsid w:val="5FB1CE50"/>
    <w:rsid w:val="5FB76C61"/>
    <w:rsid w:val="5FC7DC15"/>
    <w:rsid w:val="5FCA7BE0"/>
    <w:rsid w:val="5FCB6C62"/>
    <w:rsid w:val="5FD5D0B9"/>
    <w:rsid w:val="5FE22CCC"/>
    <w:rsid w:val="601949A3"/>
    <w:rsid w:val="602325B7"/>
    <w:rsid w:val="602D82A7"/>
    <w:rsid w:val="60339E9C"/>
    <w:rsid w:val="6036C50E"/>
    <w:rsid w:val="6046B583"/>
    <w:rsid w:val="605AC1F3"/>
    <w:rsid w:val="606DB450"/>
    <w:rsid w:val="609F7083"/>
    <w:rsid w:val="60A1271B"/>
    <w:rsid w:val="60A1E650"/>
    <w:rsid w:val="60B4FE49"/>
    <w:rsid w:val="60B9D669"/>
    <w:rsid w:val="60D76154"/>
    <w:rsid w:val="60D8CC83"/>
    <w:rsid w:val="60D8D67B"/>
    <w:rsid w:val="60DA2CB5"/>
    <w:rsid w:val="60DCA428"/>
    <w:rsid w:val="60FFC397"/>
    <w:rsid w:val="6106CBB3"/>
    <w:rsid w:val="61102B0A"/>
    <w:rsid w:val="6110D2A8"/>
    <w:rsid w:val="612373D9"/>
    <w:rsid w:val="6166A07C"/>
    <w:rsid w:val="6169C8BB"/>
    <w:rsid w:val="617BBD37"/>
    <w:rsid w:val="6186D84F"/>
    <w:rsid w:val="61962ADB"/>
    <w:rsid w:val="61A1B238"/>
    <w:rsid w:val="61B1C7E8"/>
    <w:rsid w:val="61B8E422"/>
    <w:rsid w:val="61BF112D"/>
    <w:rsid w:val="61C0AD17"/>
    <w:rsid w:val="61C122B6"/>
    <w:rsid w:val="61CDD591"/>
    <w:rsid w:val="61E25B49"/>
    <w:rsid w:val="61FC2EE4"/>
    <w:rsid w:val="626E70A5"/>
    <w:rsid w:val="6276D40F"/>
    <w:rsid w:val="62774F5D"/>
    <w:rsid w:val="627A1A11"/>
    <w:rsid w:val="627F1F56"/>
    <w:rsid w:val="62803E97"/>
    <w:rsid w:val="6291CC13"/>
    <w:rsid w:val="62A00CD5"/>
    <w:rsid w:val="62A062B6"/>
    <w:rsid w:val="62A42D65"/>
    <w:rsid w:val="62B5582E"/>
    <w:rsid w:val="62CB9B8D"/>
    <w:rsid w:val="62DB32F7"/>
    <w:rsid w:val="62E1974E"/>
    <w:rsid w:val="62EC549A"/>
    <w:rsid w:val="62F5C5D5"/>
    <w:rsid w:val="62FD241C"/>
    <w:rsid w:val="6325CF96"/>
    <w:rsid w:val="6330B3B0"/>
    <w:rsid w:val="6337BC12"/>
    <w:rsid w:val="633B5D37"/>
    <w:rsid w:val="63411AB1"/>
    <w:rsid w:val="63417A04"/>
    <w:rsid w:val="635CA7D3"/>
    <w:rsid w:val="635FDC60"/>
    <w:rsid w:val="63790EC3"/>
    <w:rsid w:val="638E07F9"/>
    <w:rsid w:val="63C0CF73"/>
    <w:rsid w:val="63D7956D"/>
    <w:rsid w:val="63EEA587"/>
    <w:rsid w:val="63F70848"/>
    <w:rsid w:val="63FA8A51"/>
    <w:rsid w:val="6404DAF7"/>
    <w:rsid w:val="640B9234"/>
    <w:rsid w:val="6418B1A2"/>
    <w:rsid w:val="64193F19"/>
    <w:rsid w:val="641C7D94"/>
    <w:rsid w:val="642017A2"/>
    <w:rsid w:val="64247EBA"/>
    <w:rsid w:val="642C26E6"/>
    <w:rsid w:val="6442A206"/>
    <w:rsid w:val="6448EF1A"/>
    <w:rsid w:val="645C8EC8"/>
    <w:rsid w:val="645CCAC8"/>
    <w:rsid w:val="646DB0E8"/>
    <w:rsid w:val="6470D4A8"/>
    <w:rsid w:val="647A727E"/>
    <w:rsid w:val="648DEB21"/>
    <w:rsid w:val="64A39F20"/>
    <w:rsid w:val="64A5A6F2"/>
    <w:rsid w:val="64AD54A0"/>
    <w:rsid w:val="64B353C4"/>
    <w:rsid w:val="64D01379"/>
    <w:rsid w:val="64D03AFF"/>
    <w:rsid w:val="650760ED"/>
    <w:rsid w:val="6514BA19"/>
    <w:rsid w:val="65181B0B"/>
    <w:rsid w:val="653BF867"/>
    <w:rsid w:val="654035B0"/>
    <w:rsid w:val="6548E47C"/>
    <w:rsid w:val="654BAAB4"/>
    <w:rsid w:val="6557B17A"/>
    <w:rsid w:val="6557DEB9"/>
    <w:rsid w:val="65608F52"/>
    <w:rsid w:val="656DA8E6"/>
    <w:rsid w:val="65800C95"/>
    <w:rsid w:val="6587B5C1"/>
    <w:rsid w:val="65947BFB"/>
    <w:rsid w:val="65A6F9C9"/>
    <w:rsid w:val="65BF7B55"/>
    <w:rsid w:val="65D444D2"/>
    <w:rsid w:val="65D5BC1D"/>
    <w:rsid w:val="65E6785B"/>
    <w:rsid w:val="65FD330B"/>
    <w:rsid w:val="6601162F"/>
    <w:rsid w:val="661DFB5B"/>
    <w:rsid w:val="662C1185"/>
    <w:rsid w:val="663CF76C"/>
    <w:rsid w:val="664E86B7"/>
    <w:rsid w:val="6665E994"/>
    <w:rsid w:val="66852B58"/>
    <w:rsid w:val="668FB648"/>
    <w:rsid w:val="6693A67E"/>
    <w:rsid w:val="66A19E22"/>
    <w:rsid w:val="66B11BF9"/>
    <w:rsid w:val="66B2F538"/>
    <w:rsid w:val="66B7BBBA"/>
    <w:rsid w:val="66BD98B5"/>
    <w:rsid w:val="66CC1DD1"/>
    <w:rsid w:val="66DB69CC"/>
    <w:rsid w:val="66EB9BBD"/>
    <w:rsid w:val="6701C47A"/>
    <w:rsid w:val="6704C1ED"/>
    <w:rsid w:val="67076D51"/>
    <w:rsid w:val="670A5395"/>
    <w:rsid w:val="6713BC3C"/>
    <w:rsid w:val="67144206"/>
    <w:rsid w:val="6739E01A"/>
    <w:rsid w:val="675A2706"/>
    <w:rsid w:val="675BE933"/>
    <w:rsid w:val="67766C55"/>
    <w:rsid w:val="67846528"/>
    <w:rsid w:val="6784B191"/>
    <w:rsid w:val="679BE879"/>
    <w:rsid w:val="67A622DD"/>
    <w:rsid w:val="67AA2F14"/>
    <w:rsid w:val="67CDEF77"/>
    <w:rsid w:val="67CF08FA"/>
    <w:rsid w:val="67D0AB76"/>
    <w:rsid w:val="67D6DC68"/>
    <w:rsid w:val="67F9E93D"/>
    <w:rsid w:val="6818B6EA"/>
    <w:rsid w:val="681A4813"/>
    <w:rsid w:val="682B290C"/>
    <w:rsid w:val="6836DF70"/>
    <w:rsid w:val="683B9043"/>
    <w:rsid w:val="684B3ADD"/>
    <w:rsid w:val="6850D9CD"/>
    <w:rsid w:val="6856C654"/>
    <w:rsid w:val="685D6272"/>
    <w:rsid w:val="685E950C"/>
    <w:rsid w:val="686BE4B1"/>
    <w:rsid w:val="68715C45"/>
    <w:rsid w:val="687A6C6A"/>
    <w:rsid w:val="688374D0"/>
    <w:rsid w:val="6888FD71"/>
    <w:rsid w:val="689265FD"/>
    <w:rsid w:val="6894D8A5"/>
    <w:rsid w:val="6896B372"/>
    <w:rsid w:val="68C61CBE"/>
    <w:rsid w:val="68C746A9"/>
    <w:rsid w:val="68C85FC4"/>
    <w:rsid w:val="69231E0B"/>
    <w:rsid w:val="69267F31"/>
    <w:rsid w:val="69336EC4"/>
    <w:rsid w:val="6963064D"/>
    <w:rsid w:val="697E2CD1"/>
    <w:rsid w:val="69830C0A"/>
    <w:rsid w:val="69BFF940"/>
    <w:rsid w:val="69C8B490"/>
    <w:rsid w:val="69CCA420"/>
    <w:rsid w:val="69CE76AB"/>
    <w:rsid w:val="69FB6F46"/>
    <w:rsid w:val="6A024976"/>
    <w:rsid w:val="6A1A06C8"/>
    <w:rsid w:val="6A1DED79"/>
    <w:rsid w:val="6A36BE71"/>
    <w:rsid w:val="6A445EDB"/>
    <w:rsid w:val="6A4CCA1E"/>
    <w:rsid w:val="6A57C203"/>
    <w:rsid w:val="6A7D3691"/>
    <w:rsid w:val="6A802591"/>
    <w:rsid w:val="6A940B31"/>
    <w:rsid w:val="6A9B9F0B"/>
    <w:rsid w:val="6A9BB39D"/>
    <w:rsid w:val="6AB0A93D"/>
    <w:rsid w:val="6ACC0FBE"/>
    <w:rsid w:val="6AD476D4"/>
    <w:rsid w:val="6AF48397"/>
    <w:rsid w:val="6AFFDD4E"/>
    <w:rsid w:val="6B0258CE"/>
    <w:rsid w:val="6B1082A8"/>
    <w:rsid w:val="6B1D61F2"/>
    <w:rsid w:val="6B237318"/>
    <w:rsid w:val="6B376AD7"/>
    <w:rsid w:val="6B3C0FF7"/>
    <w:rsid w:val="6B42CCCB"/>
    <w:rsid w:val="6B480DFA"/>
    <w:rsid w:val="6B4E063C"/>
    <w:rsid w:val="6B71BAAA"/>
    <w:rsid w:val="6B733EAE"/>
    <w:rsid w:val="6B7A4DE9"/>
    <w:rsid w:val="6B7C083D"/>
    <w:rsid w:val="6B7CB46D"/>
    <w:rsid w:val="6B80976F"/>
    <w:rsid w:val="6B82858E"/>
    <w:rsid w:val="6B8B4CFB"/>
    <w:rsid w:val="6BD11BC5"/>
    <w:rsid w:val="6BD20C39"/>
    <w:rsid w:val="6BEF9D21"/>
    <w:rsid w:val="6BF053A8"/>
    <w:rsid w:val="6BF4D9AF"/>
    <w:rsid w:val="6C12B9C8"/>
    <w:rsid w:val="6C20898C"/>
    <w:rsid w:val="6C23428E"/>
    <w:rsid w:val="6C28FF1F"/>
    <w:rsid w:val="6C2EDD7B"/>
    <w:rsid w:val="6C352356"/>
    <w:rsid w:val="6C53B54C"/>
    <w:rsid w:val="6C747029"/>
    <w:rsid w:val="6C774D29"/>
    <w:rsid w:val="6C7EA28D"/>
    <w:rsid w:val="6C8CA57F"/>
    <w:rsid w:val="6C93E405"/>
    <w:rsid w:val="6CCE0829"/>
    <w:rsid w:val="6CDEECBD"/>
    <w:rsid w:val="6CEBFB2C"/>
    <w:rsid w:val="6CF946DC"/>
    <w:rsid w:val="6D046748"/>
    <w:rsid w:val="6D19104F"/>
    <w:rsid w:val="6D3C3D82"/>
    <w:rsid w:val="6D4B3817"/>
    <w:rsid w:val="6D4F3110"/>
    <w:rsid w:val="6D54FC11"/>
    <w:rsid w:val="6D560A04"/>
    <w:rsid w:val="6D5F6FBE"/>
    <w:rsid w:val="6D77F46E"/>
    <w:rsid w:val="6D84D4CE"/>
    <w:rsid w:val="6D870FCF"/>
    <w:rsid w:val="6D92DAD3"/>
    <w:rsid w:val="6D9AF668"/>
    <w:rsid w:val="6D9FA548"/>
    <w:rsid w:val="6DA563E8"/>
    <w:rsid w:val="6DCFD274"/>
    <w:rsid w:val="6DD5A091"/>
    <w:rsid w:val="6DE2050E"/>
    <w:rsid w:val="6DE72CFF"/>
    <w:rsid w:val="6DE7C141"/>
    <w:rsid w:val="6DF50805"/>
    <w:rsid w:val="6E139362"/>
    <w:rsid w:val="6E2553C0"/>
    <w:rsid w:val="6E273534"/>
    <w:rsid w:val="6E447D1A"/>
    <w:rsid w:val="6E466C2A"/>
    <w:rsid w:val="6E551D9A"/>
    <w:rsid w:val="6E5C7F7D"/>
    <w:rsid w:val="6EA1644F"/>
    <w:rsid w:val="6EA5B675"/>
    <w:rsid w:val="6EBB4246"/>
    <w:rsid w:val="6ECD0DD8"/>
    <w:rsid w:val="6ED065A7"/>
    <w:rsid w:val="6ED3FCF4"/>
    <w:rsid w:val="6EDAB98B"/>
    <w:rsid w:val="6EEB3CDB"/>
    <w:rsid w:val="6EF6F453"/>
    <w:rsid w:val="6F059F1D"/>
    <w:rsid w:val="6F088DB6"/>
    <w:rsid w:val="6F1491DD"/>
    <w:rsid w:val="6F277E56"/>
    <w:rsid w:val="6F279A50"/>
    <w:rsid w:val="6F2EE1C5"/>
    <w:rsid w:val="6F4225DA"/>
    <w:rsid w:val="6F537F60"/>
    <w:rsid w:val="6F609DF0"/>
    <w:rsid w:val="6F63B314"/>
    <w:rsid w:val="6F68C0FE"/>
    <w:rsid w:val="6F7FD70E"/>
    <w:rsid w:val="6F94B3E6"/>
    <w:rsid w:val="6F980AA2"/>
    <w:rsid w:val="6F982FFE"/>
    <w:rsid w:val="6FA47C9E"/>
    <w:rsid w:val="6FBA698B"/>
    <w:rsid w:val="6FBEB832"/>
    <w:rsid w:val="6FE67531"/>
    <w:rsid w:val="6FEF15B7"/>
    <w:rsid w:val="70077DDC"/>
    <w:rsid w:val="70089264"/>
    <w:rsid w:val="7011591E"/>
    <w:rsid w:val="7025B94B"/>
    <w:rsid w:val="702C53F4"/>
    <w:rsid w:val="703359EF"/>
    <w:rsid w:val="7035D98E"/>
    <w:rsid w:val="704E7996"/>
    <w:rsid w:val="705B40BA"/>
    <w:rsid w:val="70A96B45"/>
    <w:rsid w:val="70B49294"/>
    <w:rsid w:val="70B52062"/>
    <w:rsid w:val="70CFDD54"/>
    <w:rsid w:val="70F51BF8"/>
    <w:rsid w:val="70F9F600"/>
    <w:rsid w:val="70FD8ABE"/>
    <w:rsid w:val="710169FC"/>
    <w:rsid w:val="71047DE3"/>
    <w:rsid w:val="710C95F0"/>
    <w:rsid w:val="711023DB"/>
    <w:rsid w:val="711BC4E3"/>
    <w:rsid w:val="7125FB94"/>
    <w:rsid w:val="71293BEF"/>
    <w:rsid w:val="712F3404"/>
    <w:rsid w:val="713A3505"/>
    <w:rsid w:val="71449CB0"/>
    <w:rsid w:val="7146002E"/>
    <w:rsid w:val="714D9B6F"/>
    <w:rsid w:val="715369AB"/>
    <w:rsid w:val="717551F9"/>
    <w:rsid w:val="717602B5"/>
    <w:rsid w:val="71927B11"/>
    <w:rsid w:val="71957F30"/>
    <w:rsid w:val="7195A13E"/>
    <w:rsid w:val="719B1E56"/>
    <w:rsid w:val="71A049EC"/>
    <w:rsid w:val="71A605A8"/>
    <w:rsid w:val="71AEF892"/>
    <w:rsid w:val="71B292CC"/>
    <w:rsid w:val="71CFB015"/>
    <w:rsid w:val="71E9560E"/>
    <w:rsid w:val="71FD0AFA"/>
    <w:rsid w:val="720024B6"/>
    <w:rsid w:val="7202ECC6"/>
    <w:rsid w:val="72072868"/>
    <w:rsid w:val="721244FF"/>
    <w:rsid w:val="72129C25"/>
    <w:rsid w:val="722C1DF1"/>
    <w:rsid w:val="723C9DD8"/>
    <w:rsid w:val="7247939E"/>
    <w:rsid w:val="7261372C"/>
    <w:rsid w:val="727158A4"/>
    <w:rsid w:val="72797222"/>
    <w:rsid w:val="7280A3D7"/>
    <w:rsid w:val="7294EC0D"/>
    <w:rsid w:val="729B1FAB"/>
    <w:rsid w:val="72ABB219"/>
    <w:rsid w:val="72AFB54C"/>
    <w:rsid w:val="72B2A150"/>
    <w:rsid w:val="72C7F460"/>
    <w:rsid w:val="72D5C067"/>
    <w:rsid w:val="72D922DB"/>
    <w:rsid w:val="72EA5C40"/>
    <w:rsid w:val="73030B1A"/>
    <w:rsid w:val="73044FAD"/>
    <w:rsid w:val="732C942F"/>
    <w:rsid w:val="73379E99"/>
    <w:rsid w:val="734EE5DB"/>
    <w:rsid w:val="7355D122"/>
    <w:rsid w:val="7393726E"/>
    <w:rsid w:val="7397428E"/>
    <w:rsid w:val="73A08316"/>
    <w:rsid w:val="73E6C2F1"/>
    <w:rsid w:val="73F4A09E"/>
    <w:rsid w:val="73FE2CC0"/>
    <w:rsid w:val="74155885"/>
    <w:rsid w:val="742929AB"/>
    <w:rsid w:val="7467234E"/>
    <w:rsid w:val="746A6E58"/>
    <w:rsid w:val="746EA811"/>
    <w:rsid w:val="747BD8FD"/>
    <w:rsid w:val="747FE8B5"/>
    <w:rsid w:val="74918E16"/>
    <w:rsid w:val="7492D800"/>
    <w:rsid w:val="7499F230"/>
    <w:rsid w:val="74C81546"/>
    <w:rsid w:val="74E64318"/>
    <w:rsid w:val="74F21756"/>
    <w:rsid w:val="74F4AA74"/>
    <w:rsid w:val="74F766DC"/>
    <w:rsid w:val="74FCB00F"/>
    <w:rsid w:val="7507DE01"/>
    <w:rsid w:val="750D32F2"/>
    <w:rsid w:val="75103144"/>
    <w:rsid w:val="752AA577"/>
    <w:rsid w:val="752FEF6F"/>
    <w:rsid w:val="753786FA"/>
    <w:rsid w:val="75669FD9"/>
    <w:rsid w:val="757EC684"/>
    <w:rsid w:val="75841459"/>
    <w:rsid w:val="758DC2AE"/>
    <w:rsid w:val="759FECB1"/>
    <w:rsid w:val="75A191FF"/>
    <w:rsid w:val="75A441DF"/>
    <w:rsid w:val="75B0975C"/>
    <w:rsid w:val="75B9C302"/>
    <w:rsid w:val="75C464F0"/>
    <w:rsid w:val="75CFD32C"/>
    <w:rsid w:val="75DC0C5B"/>
    <w:rsid w:val="75DC6B38"/>
    <w:rsid w:val="75DEC839"/>
    <w:rsid w:val="75DF0803"/>
    <w:rsid w:val="75F8A0DA"/>
    <w:rsid w:val="75FBCCEB"/>
    <w:rsid w:val="7627E988"/>
    <w:rsid w:val="763C2362"/>
    <w:rsid w:val="76414889"/>
    <w:rsid w:val="7643F895"/>
    <w:rsid w:val="764D0D24"/>
    <w:rsid w:val="767336E6"/>
    <w:rsid w:val="76798D0D"/>
    <w:rsid w:val="767F5B45"/>
    <w:rsid w:val="7680F3B1"/>
    <w:rsid w:val="769B2F1B"/>
    <w:rsid w:val="769B2FEA"/>
    <w:rsid w:val="769EC99F"/>
    <w:rsid w:val="76AF267C"/>
    <w:rsid w:val="76C2DD27"/>
    <w:rsid w:val="76C5E52B"/>
    <w:rsid w:val="76C8DB54"/>
    <w:rsid w:val="76CB57A3"/>
    <w:rsid w:val="76F30BEA"/>
    <w:rsid w:val="76F5EA06"/>
    <w:rsid w:val="76F84E09"/>
    <w:rsid w:val="7705DBEE"/>
    <w:rsid w:val="77151B8E"/>
    <w:rsid w:val="7715DF5B"/>
    <w:rsid w:val="771DE3A2"/>
    <w:rsid w:val="77248D7E"/>
    <w:rsid w:val="772B6528"/>
    <w:rsid w:val="77322F65"/>
    <w:rsid w:val="77409DDE"/>
    <w:rsid w:val="7762EA8E"/>
    <w:rsid w:val="776D0870"/>
    <w:rsid w:val="776E3169"/>
    <w:rsid w:val="7772FCFD"/>
    <w:rsid w:val="77750FA4"/>
    <w:rsid w:val="777B1BAC"/>
    <w:rsid w:val="77A4B5E3"/>
    <w:rsid w:val="77AEF895"/>
    <w:rsid w:val="77B5A97C"/>
    <w:rsid w:val="77D5DA18"/>
    <w:rsid w:val="77DA9583"/>
    <w:rsid w:val="77ECCA85"/>
    <w:rsid w:val="77F66DA8"/>
    <w:rsid w:val="77F8ADCB"/>
    <w:rsid w:val="78295ABD"/>
    <w:rsid w:val="7847966F"/>
    <w:rsid w:val="78677FAF"/>
    <w:rsid w:val="787026F0"/>
    <w:rsid w:val="787A9543"/>
    <w:rsid w:val="787BA4F4"/>
    <w:rsid w:val="787BBF93"/>
    <w:rsid w:val="787F7501"/>
    <w:rsid w:val="7881557A"/>
    <w:rsid w:val="789E797E"/>
    <w:rsid w:val="78B851CC"/>
    <w:rsid w:val="78BFF2CD"/>
    <w:rsid w:val="78CD9F29"/>
    <w:rsid w:val="78ED0606"/>
    <w:rsid w:val="7904B1FE"/>
    <w:rsid w:val="7917029A"/>
    <w:rsid w:val="794390B1"/>
    <w:rsid w:val="794CF3F7"/>
    <w:rsid w:val="796A2D8F"/>
    <w:rsid w:val="798B9109"/>
    <w:rsid w:val="79976FEF"/>
    <w:rsid w:val="79AE9D22"/>
    <w:rsid w:val="79BB096B"/>
    <w:rsid w:val="79C9109A"/>
    <w:rsid w:val="79E4CC3C"/>
    <w:rsid w:val="79E8D637"/>
    <w:rsid w:val="7A09F6E6"/>
    <w:rsid w:val="7A1427BF"/>
    <w:rsid w:val="7A2D4327"/>
    <w:rsid w:val="7A2ED427"/>
    <w:rsid w:val="7A4A1471"/>
    <w:rsid w:val="7A63E15B"/>
    <w:rsid w:val="7A6C3236"/>
    <w:rsid w:val="7A7C45A6"/>
    <w:rsid w:val="7A7DB8EE"/>
    <w:rsid w:val="7A7F70C0"/>
    <w:rsid w:val="7A81D246"/>
    <w:rsid w:val="7A83F533"/>
    <w:rsid w:val="7A89F395"/>
    <w:rsid w:val="7A995DC0"/>
    <w:rsid w:val="7A9B576E"/>
    <w:rsid w:val="7AB251B3"/>
    <w:rsid w:val="7AC34B42"/>
    <w:rsid w:val="7AC5B153"/>
    <w:rsid w:val="7ACA46E2"/>
    <w:rsid w:val="7ADDAF77"/>
    <w:rsid w:val="7AFE9EB2"/>
    <w:rsid w:val="7B3183A7"/>
    <w:rsid w:val="7B319378"/>
    <w:rsid w:val="7B50F5CC"/>
    <w:rsid w:val="7B5858A2"/>
    <w:rsid w:val="7B5B2451"/>
    <w:rsid w:val="7B7BC2C9"/>
    <w:rsid w:val="7B7C0A93"/>
    <w:rsid w:val="7B7C8C62"/>
    <w:rsid w:val="7BA17C59"/>
    <w:rsid w:val="7BB352F3"/>
    <w:rsid w:val="7BE06C2F"/>
    <w:rsid w:val="7BE5C579"/>
    <w:rsid w:val="7BEBD92A"/>
    <w:rsid w:val="7BF9DC40"/>
    <w:rsid w:val="7C09C033"/>
    <w:rsid w:val="7C1DABFC"/>
    <w:rsid w:val="7C34B9D7"/>
    <w:rsid w:val="7C3CAE20"/>
    <w:rsid w:val="7C509C80"/>
    <w:rsid w:val="7C814725"/>
    <w:rsid w:val="7C8F7C76"/>
    <w:rsid w:val="7CA92AB3"/>
    <w:rsid w:val="7CC4DCCF"/>
    <w:rsid w:val="7CD215AD"/>
    <w:rsid w:val="7CDC82AF"/>
    <w:rsid w:val="7CEBCF87"/>
    <w:rsid w:val="7CF6D6A6"/>
    <w:rsid w:val="7D07DBC8"/>
    <w:rsid w:val="7D12D2D2"/>
    <w:rsid w:val="7D336025"/>
    <w:rsid w:val="7D3E0A63"/>
    <w:rsid w:val="7D454DE2"/>
    <w:rsid w:val="7D4F5115"/>
    <w:rsid w:val="7D53D1C4"/>
    <w:rsid w:val="7D742758"/>
    <w:rsid w:val="7DA74862"/>
    <w:rsid w:val="7DA96311"/>
    <w:rsid w:val="7DD09A3D"/>
    <w:rsid w:val="7DD9750C"/>
    <w:rsid w:val="7DE7F22C"/>
    <w:rsid w:val="7E137027"/>
    <w:rsid w:val="7E2D3411"/>
    <w:rsid w:val="7E358D25"/>
    <w:rsid w:val="7E3DF6F3"/>
    <w:rsid w:val="7E5B1F3F"/>
    <w:rsid w:val="7E7A883E"/>
    <w:rsid w:val="7E849629"/>
    <w:rsid w:val="7E8D194D"/>
    <w:rsid w:val="7E901966"/>
    <w:rsid w:val="7E996318"/>
    <w:rsid w:val="7EA7ACC8"/>
    <w:rsid w:val="7EA88D26"/>
    <w:rsid w:val="7EB711CA"/>
    <w:rsid w:val="7ECE3107"/>
    <w:rsid w:val="7ED5C1EF"/>
    <w:rsid w:val="7ED96367"/>
    <w:rsid w:val="7EDDCF8E"/>
    <w:rsid w:val="7EDE4B86"/>
    <w:rsid w:val="7EDFEA64"/>
    <w:rsid w:val="7EE1092F"/>
    <w:rsid w:val="7EED17F0"/>
    <w:rsid w:val="7F012E7A"/>
    <w:rsid w:val="7F0A1E1B"/>
    <w:rsid w:val="7F1F9A8E"/>
    <w:rsid w:val="7F2C2E91"/>
    <w:rsid w:val="7F32C05E"/>
    <w:rsid w:val="7F43E0B9"/>
    <w:rsid w:val="7F5A6353"/>
    <w:rsid w:val="7F5EFFBA"/>
    <w:rsid w:val="7F709C6F"/>
    <w:rsid w:val="7F7BA937"/>
    <w:rsid w:val="7F7F1629"/>
    <w:rsid w:val="7F8FF2AF"/>
    <w:rsid w:val="7F9447F9"/>
    <w:rsid w:val="7F9E3919"/>
    <w:rsid w:val="7FA44153"/>
    <w:rsid w:val="7FC401CC"/>
    <w:rsid w:val="7FCBFF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F0F1"/>
  <w15:chartTrackingRefBased/>
  <w15:docId w15:val="{DDC387AC-38D0-4ACC-B1C9-29EB96DB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rsid w:val="24E56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3">
    <w:name w:val="heading 3"/>
    <w:basedOn w:val="Normal"/>
    <w:next w:val="Normal"/>
    <w:uiPriority w:val="9"/>
    <w:unhideWhenUsed/>
    <w:qFormat/>
    <w:rsid w:val="6CF946DC"/>
    <w:pPr>
      <w:keepNext/>
      <w:keepLines/>
      <w:spacing w:before="160" w:after="80"/>
      <w:outlineLvl w:val="2"/>
    </w:pPr>
    <w:rPr>
      <w:rFonts w:eastAsiaTheme="majorEastAsia" w:cstheme="majorBidi"/>
      <w:color w:val="2F5496"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5365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5365AA"/>
  </w:style>
  <w:style w:type="character" w:customStyle="1" w:styleId="eop">
    <w:name w:val="eop"/>
    <w:basedOn w:val="Zadanifontodlomka"/>
    <w:rsid w:val="005365AA"/>
  </w:style>
  <w:style w:type="character" w:styleId="Hiperveza">
    <w:name w:val="Hyperlink"/>
    <w:basedOn w:val="Zadanifontodlomka"/>
    <w:uiPriority w:val="99"/>
    <w:unhideWhenUsed/>
    <w:rsid w:val="003C79F5"/>
    <w:rPr>
      <w:color w:val="0563C1" w:themeColor="hyperlink"/>
      <w:u w:val="single"/>
    </w:rPr>
  </w:style>
  <w:style w:type="character" w:styleId="Nerijeenospominjanje">
    <w:name w:val="Unresolved Mention"/>
    <w:basedOn w:val="Zadanifontodlomka"/>
    <w:uiPriority w:val="99"/>
    <w:semiHidden/>
    <w:unhideWhenUsed/>
    <w:rsid w:val="003C79F5"/>
    <w:rPr>
      <w:color w:val="605E5C"/>
      <w:shd w:val="clear" w:color="auto" w:fill="E1DFDD"/>
    </w:rPr>
  </w:style>
  <w:style w:type="paragraph" w:styleId="StandardWeb">
    <w:name w:val="Normal (Web)"/>
    <w:basedOn w:val="Normal"/>
    <w:uiPriority w:val="99"/>
    <w:semiHidden/>
    <w:unhideWhenUsed/>
    <w:rsid w:val="00B13F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bibliographic-informationvalue">
    <w:name w:val="c-bibliographic-information__value"/>
    <w:basedOn w:val="Zadanifontodlomka"/>
    <w:rsid w:val="00B13F5F"/>
  </w:style>
  <w:style w:type="paragraph" w:customStyle="1" w:styleId="mb15">
    <w:name w:val="mb15"/>
    <w:basedOn w:val="Normal"/>
    <w:rsid w:val="00B13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b0">
    <w:name w:val="mb0"/>
    <w:basedOn w:val="Normal"/>
    <w:rsid w:val="00B13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723C9DD8"/>
    <w:pPr>
      <w:ind w:left="720"/>
      <w:contextualSpacing/>
    </w:p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0279-022-01738-4" TargetMode="External"/><Relationship Id="rId18" Type="http://schemas.openxmlformats.org/officeDocument/2006/relationships/hyperlink" Target="https://doi.org/10.1515/ijamh-2021-0003?utm_source=chatgpt.com" TargetMode="External"/><Relationship Id="rId26" Type="http://schemas.openxmlformats.org/officeDocument/2006/relationships/hyperlink" Target="https://doi.org/10.1371/journal.pone.0282162" TargetMode="External"/><Relationship Id="rId39" Type="http://schemas.openxmlformats.org/officeDocument/2006/relationships/hyperlink" Target="https://doi.org/10.3389/fpsyg.2025.1518423" TargetMode="External"/><Relationship Id="rId21" Type="http://schemas.openxmlformats.org/officeDocument/2006/relationships/hyperlink" Target="https://doi.org/10.1186/s12889-020-10081-0" TargetMode="External"/><Relationship Id="rId34" Type="http://schemas.openxmlformats.org/officeDocument/2006/relationships/hyperlink" Target="https://www.frontiersin.org/journals/education/articles/10.3389/feduc.2022.829578/full" TargetMode="External"/><Relationship Id="rId42" Type="http://schemas.openxmlformats.org/officeDocument/2006/relationships/hyperlink" Target="https://link.springer.com/content/pdf/10.1186/s12887-015-0365-0.pdf" TargetMode="External"/><Relationship Id="rId47" Type="http://schemas.openxmlformats.org/officeDocument/2006/relationships/hyperlink" Target="https://pubmed.ncbi.nlm.nih.gov/35934659/" TargetMode="External"/><Relationship Id="rId50"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07/s40894-022-00202-8" TargetMode="External"/><Relationship Id="rId29" Type="http://schemas.openxmlformats.org/officeDocument/2006/relationships/image" Target="media/image1.png"/><Relationship Id="rId11" Type="http://schemas.openxmlformats.org/officeDocument/2006/relationships/hyperlink" Target="https://onlinelibrary.wiley.com/doi/10.1111/josh.13509" TargetMode="External"/><Relationship Id="rId24" Type="http://schemas.openxmlformats.org/officeDocument/2006/relationships/hyperlink" Target="https://doi.org/10.1177/00178969231222542" TargetMode="External"/><Relationship Id="rId32" Type="http://schemas.openxmlformats.org/officeDocument/2006/relationships/hyperlink" Target="https://journals.plos.org/plosone/article?id=10.1371/journal.pone.0303033" TargetMode="External"/><Relationship Id="rId37" Type="http://schemas.openxmlformats.org/officeDocument/2006/relationships/hyperlink" Target="https://doi.org/10.1371/journal.pone.0288214" TargetMode="External"/><Relationship Id="rId40" Type="http://schemas.openxmlformats.org/officeDocument/2006/relationships/hyperlink" Target="file:///C:/Users/user/Downloads/fpsyg-16-1518423.pdf" TargetMode="External"/><Relationship Id="rId45" Type="http://schemas.openxmlformats.org/officeDocument/2006/relationships/hyperlink" Target="https://journals.humankinetics.com/view/journals/jtpe/40/1/article-p157.pdf?casa_token=FABfdT7O6RoAAAAA:MGnwPKo6wKQ-D0hIz_XE0aGYtOaXF-rxYsoogQHB87h25E-P2CWEpTfxAaeTs00_mQjDFi8" TargetMode="External"/><Relationship Id="rId5" Type="http://schemas.openxmlformats.org/officeDocument/2006/relationships/styles" Target="styles.xml"/><Relationship Id="rId15" Type="http://schemas.openxmlformats.org/officeDocument/2006/relationships/hyperlink" Target="https://link.springer.com/article/10.1007/s40279-023-01867-4" TargetMode="External"/><Relationship Id="rId23" Type="http://schemas.openxmlformats.org/officeDocument/2006/relationships/hyperlink" Target="https://doi.org/10.1186/s12889-025-22121-8" TargetMode="External"/><Relationship Id="rId28" Type="http://schemas.openxmlformats.org/officeDocument/2006/relationships/hyperlink" Target="https://doi.org/10.1007/s40279-017-0716-0" TargetMode="External"/><Relationship Id="rId36" Type="http://schemas.openxmlformats.org/officeDocument/2006/relationships/hyperlink" Target="https://onlinelibrary.wiley.com/doi/10.1111/j.1365-2214.2008.00901.x" TargetMode="External"/><Relationship Id="rId49" Type="http://schemas.openxmlformats.org/officeDocument/2006/relationships/theme" Target="theme/theme1.xml"/><Relationship Id="rId10" Type="http://schemas.openxmlformats.org/officeDocument/2006/relationships/hyperlink" Target="https://doi.org/10.1111/eip.12010" TargetMode="External"/><Relationship Id="rId19" Type="http://schemas.openxmlformats.org/officeDocument/2006/relationships/hyperlink" Target="https://doi.org/10.1177/21582440251327445" TargetMode="External"/><Relationship Id="rId31" Type="http://schemas.openxmlformats.org/officeDocument/2006/relationships/hyperlink" Target="https://doi.org/10.1186/s40798-024-00766-w" TargetMode="External"/><Relationship Id="rId44" Type="http://schemas.openxmlformats.org/officeDocument/2006/relationships/hyperlink" Target="https://www.sciencedirect.com/science/article/pii/S1744388125000131" TargetMode="External"/><Relationship Id="rId4" Type="http://schemas.openxmlformats.org/officeDocument/2006/relationships/numbering" Target="numbering.xml"/><Relationship Id="rId9" Type="http://schemas.openxmlformats.org/officeDocument/2006/relationships/hyperlink" Target="https://doi.org/10.2478/pcssr-2024-0015" TargetMode="External"/><Relationship Id="rId14" Type="http://schemas.openxmlformats.org/officeDocument/2006/relationships/hyperlink" Target="https://doi.org/10.1016/j.psychsport.2021.102091" TargetMode="External"/><Relationship Id="rId22" Type="http://schemas.openxmlformats.org/officeDocument/2006/relationships/hyperlink" Target="https://doi.org/10.1186/s12889-025-21336-z" TargetMode="External"/><Relationship Id="rId27" Type="http://schemas.openxmlformats.org/officeDocument/2006/relationships/hyperlink" Target="https://journals.lww.com/acsm-msse/fulltext/2000/02000/using_objective_physical_activity_measures_with.25.aspx" TargetMode="External"/><Relationship Id="rId30" Type="http://schemas.openxmlformats.org/officeDocument/2006/relationships/hyperlink" Target="https://doi.org/10.1186/s40798-024-00766-w" TargetMode="External"/><Relationship Id="rId35" Type="http://schemas.openxmlformats.org/officeDocument/2006/relationships/hyperlink" Target="https://doi.org/10.1111/j.1365-2214.2008.00901.x" TargetMode="External"/><Relationship Id="rId43" Type="http://schemas.openxmlformats.org/officeDocument/2006/relationships/hyperlink" Target="https://doi.org/10.1016/j.ctcp.2025.101948" TargetMode="External"/><Relationship Id="rId48" Type="http://schemas.openxmlformats.org/officeDocument/2006/relationships/fontTable" Target="fontTable.xml"/><Relationship Id="rId8" Type="http://schemas.openxmlformats.org/officeDocument/2006/relationships/hyperlink" Target="https://doi.org/10.3389/fpsyg.2025.1573129" TargetMode="External"/><Relationship Id="rId3" Type="http://schemas.openxmlformats.org/officeDocument/2006/relationships/customXml" Target="../customXml/item3.xml"/><Relationship Id="rId12" Type="http://schemas.openxmlformats.org/officeDocument/2006/relationships/hyperlink" Target="https://doi.org/10.1186/s12889-020-09583-8" TargetMode="External"/><Relationship Id="rId17" Type="http://schemas.openxmlformats.org/officeDocument/2006/relationships/hyperlink" Target="https://doi.org/10.3389/fpubh.2022.1054482" TargetMode="External"/><Relationship Id="rId25" Type="http://schemas.openxmlformats.org/officeDocument/2006/relationships/hyperlink" Target="https://doi.org/10.3389/ijph.2021.1604072" TargetMode="External"/><Relationship Id="rId33" Type="http://schemas.openxmlformats.org/officeDocument/2006/relationships/hyperlink" Target="https://doi.org/10.1016/j.psychsport.2021.101989" TargetMode="External"/><Relationship Id="rId38" Type="http://schemas.openxmlformats.org/officeDocument/2006/relationships/hyperlink" Target="https://journals.plos.org/plosone/article?id=10.1371/journal.pone.0288214" TargetMode="External"/><Relationship Id="rId46" Type="http://schemas.openxmlformats.org/officeDocument/2006/relationships/hyperlink" Target="https://doi.org/10.1016/j.jsams.2022.04.008" TargetMode="External"/><Relationship Id="rId20" Type="http://schemas.openxmlformats.org/officeDocument/2006/relationships/hyperlink" Target="https://doi.org/10.1186/s12889-024-18364-6" TargetMode="External"/><Relationship Id="rId41" Type="http://schemas.openxmlformats.org/officeDocument/2006/relationships/hyperlink" Target="https://doi.org/10.1186/s12887-015-0365-0"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44115CA011A045B8B0173BF52FFA1C" ma:contentTypeVersion="10" ma:contentTypeDescription="Stvaranje novog dokumenta." ma:contentTypeScope="" ma:versionID="63d03a7d375686daaabe7f22ae7df1ec">
  <xsd:schema xmlns:xsd="http://www.w3.org/2001/XMLSchema" xmlns:xs="http://www.w3.org/2001/XMLSchema" xmlns:p="http://schemas.microsoft.com/office/2006/metadata/properties" xmlns:ns2="81315866-6b29-464f-80d9-0294ceecac33" xmlns:ns3="81ff8a9a-03de-48d5-a3f3-381026065d91" targetNamespace="http://schemas.microsoft.com/office/2006/metadata/properties" ma:root="true" ma:fieldsID="881e2cabefa31655605a111cf4f2ca59" ns2:_="" ns3:_="">
    <xsd:import namespace="81315866-6b29-464f-80d9-0294ceecac33"/>
    <xsd:import namespace="81ff8a9a-03de-48d5-a3f3-381026065d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5866-6b29-464f-80d9-0294ceeca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fa9f45c-4596-4620-8510-2c5b9ab655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f8a9a-03de-48d5-a3f3-381026065d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4ce161-0687-4998-970f-0eca4b40bad4}" ma:internalName="TaxCatchAll" ma:showField="CatchAllData" ma:web="81ff8a9a-03de-48d5-a3f3-381026065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ff8a9a-03de-48d5-a3f3-381026065d91" xsi:nil="true"/>
    <lcf76f155ced4ddcb4097134ff3c332f xmlns="81315866-6b29-464f-80d9-0294ceecac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37DC8B-F9DB-4E2A-9857-F9A6EE9D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5866-6b29-464f-80d9-0294ceecac33"/>
    <ds:schemaRef ds:uri="81ff8a9a-03de-48d5-a3f3-38102606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DDB15-934B-44C4-B1BE-D6BCF835027D}">
  <ds:schemaRefs>
    <ds:schemaRef ds:uri="http://schemas.microsoft.com/sharepoint/v3/contenttype/forms"/>
  </ds:schemaRefs>
</ds:datastoreItem>
</file>

<file path=customXml/itemProps3.xml><?xml version="1.0" encoding="utf-8"?>
<ds:datastoreItem xmlns:ds="http://schemas.openxmlformats.org/officeDocument/2006/customXml" ds:itemID="{41BF003D-1108-406F-B2EF-16E69307D7A0}">
  <ds:schemaRefs>
    <ds:schemaRef ds:uri="http://schemas.microsoft.com/office/2006/metadata/properties"/>
    <ds:schemaRef ds:uri="http://schemas.microsoft.com/office/infopath/2007/PartnerControls"/>
    <ds:schemaRef ds:uri="81ff8a9a-03de-48d5-a3f3-381026065d91"/>
    <ds:schemaRef ds:uri="81315866-6b29-464f-80d9-0294ceecac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37584</Words>
  <Characters>214229</Characters>
  <Application>Microsoft Office Word</Application>
  <DocSecurity>0</DocSecurity>
  <Lines>1785</Lines>
  <Paragraphs>502</Paragraphs>
  <ScaleCrop>false</ScaleCrop>
  <Company/>
  <LinksUpToDate>false</LinksUpToDate>
  <CharactersWithSpaces>251311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Barić</dc:creator>
  <cp:keywords/>
  <dc:description/>
  <cp:lastModifiedBy>Renata Barić</cp:lastModifiedBy>
  <cp:revision>2</cp:revision>
  <dcterms:created xsi:type="dcterms:W3CDTF">2026-02-20T07:21:00Z</dcterms:created>
  <dcterms:modified xsi:type="dcterms:W3CDTF">2026-02-20T07:21:00Z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0x0101009F44115CA011A045B8B0173BF52FFA1C</vt:lpwstr>
  </property>
  <property fmtid="{D5CDD505-2E9C-101B-9397-08002B2CF9AE}" pid="3" name="MediaServiceImageTags">
    <vt:lpwstr/>
  </property>
</Properties>
</file>